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吴川垃圾发电</w:t>
      </w:r>
      <w:r>
        <w:rPr>
          <w:rFonts w:ascii="Arial" w:hAnsi="Arial" w:eastAsia="宋体" w:cs="Arial"/>
          <w:color w:val="333333"/>
          <w:kern w:val="0"/>
          <w:sz w:val="36"/>
          <w:szCs w:val="36"/>
        </w:rPr>
        <w:t>项目</w:t>
      </w:r>
      <w:r>
        <w:rPr>
          <w:rFonts w:hint="eastAsia" w:ascii="Arial" w:hAnsi="Arial" w:eastAsia="宋体" w:cs="Arial"/>
          <w:color w:val="333333"/>
          <w:kern w:val="0"/>
          <w:sz w:val="36"/>
          <w:szCs w:val="36"/>
          <w:lang w:eastAsia="zh-CN"/>
        </w:rPr>
        <w:t>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年尿素</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LK-ZJLK-ZB-JC2026-003</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湛江市朗坤环保能源有限公司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91073131"/>
      <w:bookmarkStart w:id="2" w:name="_Toc184635054"/>
      <w:bookmarkStart w:id="3" w:name="_Toc176085606"/>
      <w:bookmarkStart w:id="4" w:name="_Toc456800242"/>
      <w:bookmarkStart w:id="5" w:name="_Toc456799795"/>
      <w:bookmarkStart w:id="6" w:name="_Toc456800136"/>
      <w:bookmarkStart w:id="7" w:name="_Toc456799687"/>
      <w:bookmarkStart w:id="8" w:name="_Toc456799947"/>
      <w:bookmarkStart w:id="9" w:name="_Toc456800166"/>
      <w:bookmarkStart w:id="10" w:name="_Toc456800085"/>
      <w:r>
        <w:rPr>
          <w:rFonts w:hint="eastAsia" w:ascii="宋体" w:hAnsi="宋体" w:eastAsia="宋体" w:cs="Tahoma"/>
          <w:color w:val="000000"/>
          <w:kern w:val="0"/>
          <w:szCs w:val="21"/>
        </w:rPr>
        <w:t>本招标项目</w:t>
      </w:r>
      <w:r>
        <w:rPr>
          <w:rFonts w:hint="eastAsia" w:ascii="宋体" w:hAnsi="宋体" w:eastAsia="宋体" w:cs="Tahoma"/>
          <w:color w:val="000000"/>
          <w:kern w:val="0"/>
          <w:szCs w:val="21"/>
          <w:lang w:eastAsia="zh-CN"/>
        </w:rPr>
        <w:t>湛江市吴川垃圾发电项目</w:t>
      </w:r>
      <w:r>
        <w:rPr>
          <w:rFonts w:hint="eastAsia" w:ascii="宋体" w:hAnsi="宋体" w:eastAsia="宋体" w:cs="Tahoma"/>
          <w:color w:val="000000"/>
          <w:kern w:val="0"/>
          <w:szCs w:val="21"/>
        </w:rPr>
        <w:t>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湛江市朗坤环保能源有限公司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rPr>
        <w:t>广东省吴川市环保热力发电厂及配套设施项目</w:t>
      </w:r>
      <w:r>
        <w:rPr>
          <w:rFonts w:asciiTheme="minorHAnsi" w:hAnsiTheme="minorEastAsia" w:eastAsiaTheme="minorEastAsia" w:cstheme="minorHAnsi"/>
          <w:kern w:val="0"/>
          <w:szCs w:val="24"/>
        </w:rPr>
        <w:t>处理厂内</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LK-ZB-EB-2025023</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0CFC00E3">
      <w:pPr>
        <w:spacing w:line="360" w:lineRule="auto"/>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150</w:t>
      </w:r>
      <w:r>
        <w:rPr>
          <w:rFonts w:hint="eastAsia" w:ascii="宋体" w:hAnsi="宋体" w:eastAsia="宋体" w:cs="Tahoma"/>
          <w:color w:val="000000"/>
          <w:kern w:val="0"/>
          <w:szCs w:val="21"/>
        </w:rPr>
        <w:t>吨</w:t>
      </w:r>
      <w:r>
        <w:rPr>
          <w:rFonts w:hint="eastAsia" w:ascii="宋体" w:hAnsi="宋体" w:eastAsia="宋体" w:cs="Tahoma"/>
          <w:color w:val="000000"/>
          <w:kern w:val="0"/>
          <w:szCs w:val="21"/>
          <w:lang w:eastAsia="zh-CN"/>
        </w:rPr>
        <w:t>尿素</w:t>
      </w:r>
      <w:r>
        <w:rPr>
          <w:rFonts w:hint="eastAsia" w:ascii="宋体" w:hAnsi="宋体" w:eastAsia="宋体" w:cs="Tahoma"/>
          <w:color w:val="000000"/>
          <w:kern w:val="0"/>
          <w:szCs w:val="21"/>
        </w:rPr>
        <w:t>，</w:t>
      </w:r>
      <w:r>
        <w:rPr>
          <w:rFonts w:hint="eastAsia" w:ascii="宋体" w:hAnsi="宋体" w:eastAsia="宋体" w:cs="Tahoma"/>
          <w:color w:val="000000"/>
          <w:kern w:val="0"/>
          <w:szCs w:val="21"/>
        </w:rPr>
        <w:t>尿素含氮量</w:t>
      </w:r>
      <w:r>
        <w:rPr>
          <w:rFonts w:ascii="宋体" w:hAnsi="宋体" w:eastAsia="宋体" w:cs="Tahoma"/>
          <w:color w:val="000000"/>
          <w:kern w:val="0"/>
          <w:szCs w:val="21"/>
        </w:rPr>
        <w:t>≥</w:t>
      </w:r>
      <w:r>
        <w:rPr>
          <w:rFonts w:hint="eastAsia" w:ascii="宋体" w:hAnsi="宋体" w:eastAsia="宋体" w:cs="Tahoma"/>
          <w:color w:val="000000"/>
          <w:kern w:val="0"/>
          <w:szCs w:val="21"/>
        </w:rPr>
        <w:t>46</w:t>
      </w:r>
      <w:r>
        <w:rPr>
          <w:rFonts w:ascii="宋体" w:hAnsi="宋体" w:eastAsia="宋体" w:cs="Tahoma"/>
          <w:color w:val="000000"/>
          <w:kern w:val="0"/>
          <w:szCs w:val="21"/>
        </w:rPr>
        <w:t>%、</w:t>
      </w:r>
      <w:r>
        <w:rPr>
          <w:rFonts w:hint="eastAsia" w:ascii="宋体" w:hAnsi="宋体" w:eastAsia="宋体" w:cs="Tahoma"/>
          <w:color w:val="000000"/>
          <w:kern w:val="0"/>
          <w:szCs w:val="21"/>
        </w:rPr>
        <w:t>缩二脲</w:t>
      </w:r>
      <w:r>
        <w:rPr>
          <w:rFonts w:ascii="宋体" w:hAnsi="宋体" w:eastAsia="宋体" w:cs="Tahoma"/>
          <w:color w:val="000000"/>
          <w:kern w:val="0"/>
          <w:szCs w:val="21"/>
        </w:rPr>
        <w:t>≤</w:t>
      </w:r>
      <w:r>
        <w:rPr>
          <w:rFonts w:hint="eastAsia" w:ascii="宋体" w:hAnsi="宋体" w:eastAsia="宋体" w:cs="Tahoma"/>
          <w:color w:val="000000"/>
          <w:kern w:val="0"/>
          <w:szCs w:val="21"/>
        </w:rPr>
        <w:t>1.0%、水分</w:t>
      </w:r>
      <w:r>
        <w:rPr>
          <w:rFonts w:ascii="宋体" w:hAnsi="宋体" w:eastAsia="宋体" w:cs="Tahoma"/>
          <w:color w:val="000000"/>
          <w:kern w:val="0"/>
          <w:szCs w:val="21"/>
        </w:rPr>
        <w:t>≤</w:t>
      </w:r>
      <w:r>
        <w:rPr>
          <w:rFonts w:hint="eastAsia" w:ascii="宋体" w:hAnsi="宋体" w:eastAsia="宋体" w:cs="Tahoma"/>
          <w:color w:val="000000"/>
          <w:kern w:val="0"/>
          <w:szCs w:val="21"/>
        </w:rPr>
        <w:t>0.7%</w:t>
      </w:r>
      <w:r>
        <w:rPr>
          <w:rFonts w:ascii="宋体" w:hAnsi="宋体" w:eastAsia="宋体" w:cs="Tahoma"/>
          <w:color w:val="000000"/>
          <w:kern w:val="0"/>
          <w:szCs w:val="21"/>
        </w:rPr>
        <w:t xml:space="preserve"> ，GB</w:t>
      </w:r>
      <w:r>
        <w:rPr>
          <w:rFonts w:hint="eastAsia" w:ascii="宋体" w:hAnsi="宋体" w:eastAsia="宋体" w:cs="Tahoma"/>
          <w:color w:val="000000"/>
          <w:kern w:val="0"/>
          <w:szCs w:val="21"/>
        </w:rPr>
        <w:t xml:space="preserve">/T </w:t>
      </w:r>
      <w:r>
        <w:rPr>
          <w:rFonts w:ascii="宋体" w:hAnsi="宋体" w:eastAsia="宋体" w:cs="Tahoma"/>
          <w:color w:val="000000"/>
          <w:kern w:val="0"/>
          <w:szCs w:val="21"/>
        </w:rPr>
        <w:t>2440—20</w:t>
      </w:r>
      <w:r>
        <w:rPr>
          <w:rFonts w:hint="eastAsia" w:ascii="宋体" w:hAnsi="宋体" w:eastAsia="宋体" w:cs="Tahoma"/>
          <w:color w:val="000000"/>
          <w:kern w:val="0"/>
          <w:szCs w:val="21"/>
        </w:rPr>
        <w:t>17质量</w:t>
      </w:r>
      <w:r>
        <w:rPr>
          <w:rFonts w:ascii="宋体" w:hAnsi="宋体" w:eastAsia="宋体" w:cs="Tahoma"/>
          <w:color w:val="000000"/>
          <w:kern w:val="0"/>
          <w:szCs w:val="21"/>
        </w:rPr>
        <w:t>标准</w:t>
      </w:r>
      <w:r>
        <w:rPr>
          <w:rFonts w:hint="eastAsia" w:ascii="宋体" w:hAnsi="宋体" w:eastAsia="宋体" w:cs="Tahoma"/>
          <w:color w:val="000000"/>
          <w:kern w:val="0"/>
          <w:szCs w:val="21"/>
        </w:rPr>
        <w:t>农用尿素优等品、含增值税</w:t>
      </w:r>
      <w:r>
        <w:rPr>
          <w:rFonts w:ascii="宋体" w:hAnsi="宋体" w:eastAsia="宋体" w:cs="Tahoma"/>
          <w:color w:val="000000"/>
          <w:kern w:val="0"/>
          <w:szCs w:val="21"/>
        </w:rPr>
        <w:t>9% 、</w:t>
      </w:r>
      <w:r>
        <w:rPr>
          <w:rFonts w:hint="eastAsia" w:ascii="宋体" w:hAnsi="宋体" w:eastAsia="宋体" w:cs="Tahoma"/>
          <w:color w:val="000000"/>
          <w:kern w:val="0"/>
          <w:szCs w:val="21"/>
        </w:rPr>
        <w:t>含运费保险费用、含卸货费。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湛江市朗坤环保能源有限公司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w:t>
      </w:r>
      <w:r>
        <w:rPr>
          <w:rFonts w:hint="eastAsia" w:ascii="宋体" w:hAnsi="宋体" w:eastAsia="宋体" w:cs="Tahoma"/>
          <w:color w:val="000000"/>
          <w:kern w:val="0"/>
          <w:szCs w:val="21"/>
          <w:lang w:eastAsia="zh-CN"/>
        </w:rPr>
        <w:t>150</w:t>
      </w:r>
      <w:r>
        <w:rPr>
          <w:rFonts w:hint="eastAsia" w:ascii="宋体" w:hAnsi="宋体" w:eastAsia="宋体" w:cs="Tahoma"/>
          <w:color w:val="000000"/>
          <w:kern w:val="0"/>
          <w:szCs w:val="21"/>
        </w:rPr>
        <w:t>@qq.com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湛江市朗坤环保能源有限公司尿素</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LK-ZJLK-ZB-JC2026-003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每月</w:t>
            </w:r>
            <w:r>
              <w:rPr>
                <w:rFonts w:hint="eastAsia" w:cs="Times New Roman" w:asciiTheme="minorEastAsia" w:hAnsiTheme="minorEastAsia" w:eastAsiaTheme="minorEastAsia"/>
              </w:rPr>
              <w:t>21号统计上月21-本月20日实际交货的数量（经甲方验收合格），通知乙方开票、实际付款时间为甲方收到乙方发票后</w:t>
            </w:r>
            <w:r>
              <w:rPr>
                <w:rFonts w:hint="eastAsia" w:cs="Times New Roman" w:asciiTheme="minorEastAsia" w:hAnsiTheme="minorEastAsia" w:eastAsiaTheme="minorEastAsia"/>
                <w:lang w:val="en-US" w:eastAsia="zh-CN"/>
              </w:rPr>
              <w:t>60</w:t>
            </w:r>
            <w:r>
              <w:rPr>
                <w:rFonts w:hint="eastAsia" w:cs="Times New Roman" w:asciiTheme="minorEastAsia" w:hAnsiTheme="minorEastAsia" w:eastAsiaTheme="minorEastAsia"/>
              </w:rPr>
              <w:t>天</w:t>
            </w:r>
            <w:r>
              <w:rPr>
                <w:rFonts w:hint="eastAsia" w:cs="Times New Roman" w:asciiTheme="minorEastAsia" w:hAnsiTheme="minorEastAsia" w:eastAsiaTheme="minorEastAsia"/>
                <w:lang w:val="en-US" w:eastAsia="zh-CN"/>
              </w:rPr>
              <w:t>内</w:t>
            </w:r>
            <w:r>
              <w:rPr>
                <w:rFonts w:hint="eastAsia" w:cs="Times New Roman" w:asciiTheme="minorEastAsia" w:hAnsiTheme="minorEastAsia" w:eastAsiaTheme="minorEastAsia"/>
              </w:rPr>
              <w:t>付款。</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150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28C00116">
            <w:pPr>
              <w:pStyle w:val="38"/>
              <w:spacing w:before="0" w:beforeAutospacing="0" w:after="0" w:afterAutospacing="0" w:line="360" w:lineRule="auto"/>
              <w:jc w:val="both"/>
              <w:rPr>
                <w:rFonts w:cs="Times New Roman"/>
                <w:kern w:val="2"/>
                <w:sz w:val="21"/>
                <w:szCs w:val="21"/>
              </w:rPr>
            </w:pPr>
            <w:r>
              <w:rPr>
                <w:rFonts w:hint="eastAsia" w:asciiTheme="minorEastAsia" w:hAnsiTheme="minorEastAsia" w:eastAsiaTheme="minorEastAsia"/>
              </w:rPr>
              <w:t>1、合格验收</w:t>
            </w:r>
            <w:r>
              <w:rPr>
                <w:rFonts w:hint="eastAsia" w:cs="Times New Roman" w:asciiTheme="minorEastAsia" w:hAnsiTheme="minorEastAsia" w:eastAsiaTheme="minorEastAsia"/>
              </w:rPr>
              <w:t>：尿素质量执行中华人民共和国国家标准：GB/T 2440—2017农业用（肥料）尿素优等品质量标准。若该中华人民共和国化工行业标准发生变化，按最新标准执行。同时尿素必须是全新的，要求为细颗粒的，不允许结块，防潮袋装。</w:t>
            </w:r>
          </w:p>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甲方作为合格物料予以验收结算。</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尿素</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LK-ZJLK-ZB-JC2026-003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800244"/>
      <w:bookmarkStart w:id="15" w:name="_Toc456800087"/>
      <w:bookmarkStart w:id="16" w:name="_Toc456799689"/>
      <w:bookmarkStart w:id="17" w:name="_Toc456800168"/>
      <w:bookmarkStart w:id="18" w:name="_Toc456800138"/>
      <w:bookmarkStart w:id="19" w:name="_Toc456799949"/>
      <w:bookmarkStart w:id="20" w:name="_Toc456799797"/>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6085638"/>
      <w:bookmarkStart w:id="22" w:name="_Toc174521069"/>
    </w:p>
    <w:p w14:paraId="61C01CC6">
      <w:pPr>
        <w:tabs>
          <w:tab w:val="left" w:pos="3906"/>
        </w:tabs>
        <w:spacing w:before="120" w:beforeLines="50" w:after="120" w:afterLines="50"/>
        <w:outlineLvl w:val="1"/>
        <w:rPr>
          <w:rFonts w:ascii="宋体" w:hAnsi="宋体" w:eastAsia="宋体"/>
          <w:szCs w:val="24"/>
        </w:rPr>
      </w:pPr>
      <w:bookmarkStart w:id="23" w:name="_Toc456800245"/>
      <w:bookmarkStart w:id="24" w:name="_Toc456800088"/>
      <w:bookmarkStart w:id="25" w:name="_Toc91073209"/>
      <w:bookmarkStart w:id="26" w:name="_Toc456799690"/>
      <w:bookmarkStart w:id="27" w:name="_Toc456799798"/>
      <w:bookmarkStart w:id="28" w:name="_Toc456799950"/>
      <w:bookmarkStart w:id="29" w:name="_Toc456800139"/>
      <w:bookmarkStart w:id="30" w:name="_Toc45680016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4521070"/>
      <w:bookmarkStart w:id="32" w:name="_Toc176085639"/>
      <w:bookmarkStart w:id="33" w:name="_Toc91073210"/>
      <w:bookmarkStart w:id="34" w:name="_Toc456799951"/>
      <w:bookmarkStart w:id="35" w:name="_Toc456800089"/>
      <w:bookmarkStart w:id="36" w:name="_Toc456799691"/>
      <w:bookmarkStart w:id="37" w:name="_Toc456800140"/>
      <w:bookmarkStart w:id="38" w:name="_Toc456799799"/>
      <w:bookmarkStart w:id="39" w:name="_Toc456800246"/>
      <w:bookmarkStart w:id="40" w:name="_Toc45680017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6085641"/>
      <w:bookmarkStart w:id="4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6085643"/>
      <w:bookmarkStart w:id="44"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6085644"/>
      <w:bookmarkStart w:id="46" w:name="_Toc174521075"/>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4521076"/>
      <w:bookmarkStart w:id="48" w:name="_Toc176085645"/>
      <w:bookmarkStart w:id="49" w:name="_Toc456799803"/>
      <w:bookmarkStart w:id="50" w:name="_Toc456799695"/>
      <w:bookmarkStart w:id="51" w:name="_Toc45679995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171"/>
      <w:bookmarkStart w:id="53" w:name="_Toc456800141"/>
      <w:bookmarkStart w:id="54" w:name="_Toc456799692"/>
      <w:bookmarkStart w:id="55" w:name="_Toc456800090"/>
      <w:bookmarkStart w:id="56" w:name="_Toc456799952"/>
      <w:bookmarkStart w:id="57" w:name="_Toc456799800"/>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801"/>
      <w:bookmarkStart w:id="59" w:name="_Toc456799953"/>
      <w:bookmarkStart w:id="60" w:name="_Toc456799693"/>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800247"/>
      <w:bookmarkStart w:id="63" w:name="_Toc456800172"/>
      <w:bookmarkStart w:id="64" w:name="_Toc456800092"/>
      <w:bookmarkStart w:id="65" w:name="_Toc456800142"/>
      <w:bookmarkStart w:id="66" w:name="_Toc456799802"/>
      <w:bookmarkStart w:id="67" w:name="_Toc456799954"/>
      <w:bookmarkStart w:id="68" w:name="_Toc456799694"/>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尿素</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湛江市朗坤环保能源有限公司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吴川垃圾发电项目</w:t>
      </w:r>
      <w:r>
        <w:rPr>
          <w:rFonts w:hint="eastAsia" w:ascii="宋体" w:hAnsi="宋体" w:eastAsia="宋体"/>
          <w:szCs w:val="24"/>
        </w:rPr>
        <w:t>的</w:t>
      </w:r>
      <w:r>
        <w:rPr>
          <w:rFonts w:hint="eastAsia" w:ascii="宋体" w:hAnsi="宋体" w:eastAsia="宋体"/>
          <w:szCs w:val="24"/>
          <w:u w:val="single"/>
          <w:lang w:eastAsia="zh-CN"/>
        </w:rPr>
        <w:t>尿素</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尿素</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150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hint="default" w:ascii="宋体" w:hAnsi="宋体" w:eastAsia="宋体"/>
                <w:color w:val="000000"/>
                <w:szCs w:val="24"/>
                <w:lang w:val="en-US" w:eastAsia="zh-CN"/>
              </w:rPr>
            </w:pPr>
            <w:r>
              <w:rPr>
                <w:rFonts w:hint="eastAsia" w:ascii="宋体" w:hAnsi="宋体" w:eastAsia="宋体"/>
                <w:color w:val="000000"/>
                <w:szCs w:val="24"/>
                <w:lang w:val="en-US" w:eastAsia="zh-CN"/>
              </w:rPr>
              <w:t>9%</w:t>
            </w: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4521078"/>
      <w:bookmarkStart w:id="70"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96"/>
        <w:gridCol w:w="1992"/>
        <w:gridCol w:w="588"/>
        <w:gridCol w:w="1185"/>
        <w:gridCol w:w="1134"/>
        <w:gridCol w:w="1134"/>
        <w:gridCol w:w="1559"/>
      </w:tblGrid>
      <w:tr w14:paraId="42DE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6FD6BE52">
            <w:pPr>
              <w:pStyle w:val="14"/>
              <w:jc w:val="center"/>
            </w:pPr>
            <w:r>
              <w:rPr>
                <w:rFonts w:hint="eastAsia"/>
              </w:rPr>
              <w:t>材料名称</w:t>
            </w:r>
          </w:p>
        </w:tc>
        <w:tc>
          <w:tcPr>
            <w:tcW w:w="3188" w:type="dxa"/>
            <w:gridSpan w:val="2"/>
            <w:vAlign w:val="center"/>
          </w:tcPr>
          <w:p w14:paraId="54CD0705">
            <w:pPr>
              <w:pStyle w:val="14"/>
              <w:jc w:val="center"/>
            </w:pPr>
            <w:r>
              <w:rPr>
                <w:rFonts w:hint="eastAsia"/>
              </w:rPr>
              <w:t>规格型号、技术要求</w:t>
            </w:r>
          </w:p>
        </w:tc>
        <w:tc>
          <w:tcPr>
            <w:tcW w:w="588" w:type="dxa"/>
            <w:vAlign w:val="center"/>
          </w:tcPr>
          <w:p w14:paraId="7C97F394">
            <w:pPr>
              <w:pStyle w:val="14"/>
              <w:jc w:val="center"/>
            </w:pPr>
            <w:r>
              <w:rPr>
                <w:rFonts w:hint="eastAsia"/>
              </w:rPr>
              <w:t>单位</w:t>
            </w:r>
          </w:p>
        </w:tc>
        <w:tc>
          <w:tcPr>
            <w:tcW w:w="1185" w:type="dxa"/>
            <w:vAlign w:val="center"/>
          </w:tcPr>
          <w:p w14:paraId="60AE6121">
            <w:pPr>
              <w:pStyle w:val="14"/>
              <w:jc w:val="center"/>
            </w:pPr>
            <w:r>
              <w:rPr>
                <w:rFonts w:hint="eastAsia"/>
              </w:rPr>
              <w:t>暂定数量</w:t>
            </w:r>
          </w:p>
        </w:tc>
        <w:tc>
          <w:tcPr>
            <w:tcW w:w="1134" w:type="dxa"/>
            <w:vAlign w:val="center"/>
          </w:tcPr>
          <w:p w14:paraId="1382B7FF">
            <w:pPr>
              <w:pStyle w:val="14"/>
              <w:jc w:val="center"/>
            </w:pPr>
            <w:r>
              <w:rPr>
                <w:rFonts w:hint="eastAsia"/>
              </w:rPr>
              <w:t>单价（元）</w:t>
            </w:r>
          </w:p>
        </w:tc>
        <w:tc>
          <w:tcPr>
            <w:tcW w:w="1134" w:type="dxa"/>
          </w:tcPr>
          <w:p w14:paraId="7365F0BB">
            <w:pPr>
              <w:pStyle w:val="14"/>
              <w:ind w:left="315" w:hanging="360" w:hangingChars="150"/>
            </w:pPr>
            <w:r>
              <w:rPr>
                <w:rFonts w:hint="eastAsia"/>
              </w:rPr>
              <w:t>总价（元）</w:t>
            </w:r>
          </w:p>
        </w:tc>
        <w:tc>
          <w:tcPr>
            <w:tcW w:w="1559" w:type="dxa"/>
            <w:vAlign w:val="center"/>
          </w:tcPr>
          <w:p w14:paraId="7709D1CD">
            <w:pPr>
              <w:pStyle w:val="14"/>
              <w:ind w:left="360" w:leftChars="150"/>
            </w:pPr>
            <w:r>
              <w:rPr>
                <w:rFonts w:hint="eastAsia"/>
              </w:rPr>
              <w:t xml:space="preserve">备注  </w:t>
            </w:r>
          </w:p>
        </w:tc>
      </w:tr>
      <w:tr w14:paraId="1DD8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629C168">
            <w:pPr>
              <w:pStyle w:val="14"/>
              <w:jc w:val="left"/>
            </w:pPr>
            <w:r>
              <w:rPr>
                <w:rFonts w:hint="eastAsia"/>
              </w:rPr>
              <w:t>尿素</w:t>
            </w:r>
          </w:p>
        </w:tc>
        <w:tc>
          <w:tcPr>
            <w:tcW w:w="1196" w:type="dxa"/>
            <w:vAlign w:val="center"/>
          </w:tcPr>
          <w:p w14:paraId="20FCD51F">
            <w:pPr>
              <w:pStyle w:val="14"/>
              <w:jc w:val="center"/>
            </w:pPr>
            <w:r>
              <w:rPr>
                <w:rFonts w:hint="eastAsia"/>
              </w:rPr>
              <w:t>指标</w:t>
            </w:r>
          </w:p>
        </w:tc>
        <w:tc>
          <w:tcPr>
            <w:tcW w:w="1992" w:type="dxa"/>
            <w:vAlign w:val="center"/>
          </w:tcPr>
          <w:p w14:paraId="50D0A714">
            <w:pPr>
              <w:pStyle w:val="14"/>
              <w:jc w:val="center"/>
            </w:pPr>
            <w:r>
              <w:rPr>
                <w:rFonts w:hint="eastAsia"/>
              </w:rPr>
              <w:t>参数</w:t>
            </w:r>
          </w:p>
        </w:tc>
        <w:tc>
          <w:tcPr>
            <w:tcW w:w="588" w:type="dxa"/>
            <w:vMerge w:val="restart"/>
            <w:vAlign w:val="center"/>
          </w:tcPr>
          <w:p w14:paraId="57736061">
            <w:pPr>
              <w:pStyle w:val="14"/>
              <w:jc w:val="center"/>
            </w:pPr>
            <w:r>
              <w:rPr>
                <w:rFonts w:hint="eastAsia"/>
              </w:rPr>
              <w:t>吨</w:t>
            </w:r>
          </w:p>
        </w:tc>
        <w:tc>
          <w:tcPr>
            <w:tcW w:w="1185" w:type="dxa"/>
            <w:vMerge w:val="restart"/>
            <w:vAlign w:val="center"/>
          </w:tcPr>
          <w:p w14:paraId="04047F07">
            <w:pPr>
              <w:pStyle w:val="14"/>
              <w:jc w:val="center"/>
              <w:rPr>
                <w:rFonts w:hint="default" w:eastAsia="宋体"/>
                <w:lang w:val="en-US" w:eastAsia="zh-CN"/>
              </w:rPr>
            </w:pPr>
            <w:r>
              <w:rPr>
                <w:rFonts w:hint="eastAsia"/>
                <w:lang w:val="en-US" w:eastAsia="zh-CN"/>
              </w:rPr>
              <w:t>150</w:t>
            </w:r>
          </w:p>
        </w:tc>
        <w:tc>
          <w:tcPr>
            <w:tcW w:w="1134" w:type="dxa"/>
            <w:vMerge w:val="restart"/>
            <w:vAlign w:val="center"/>
          </w:tcPr>
          <w:p w14:paraId="2D443378">
            <w:pPr>
              <w:pStyle w:val="14"/>
            </w:pPr>
          </w:p>
        </w:tc>
        <w:tc>
          <w:tcPr>
            <w:tcW w:w="1134" w:type="dxa"/>
            <w:vMerge w:val="restart"/>
            <w:vAlign w:val="center"/>
          </w:tcPr>
          <w:p w14:paraId="62F2983C">
            <w:pPr>
              <w:pStyle w:val="14"/>
            </w:pPr>
          </w:p>
        </w:tc>
        <w:tc>
          <w:tcPr>
            <w:tcW w:w="1559" w:type="dxa"/>
            <w:vMerge w:val="restart"/>
            <w:vAlign w:val="center"/>
          </w:tcPr>
          <w:p w14:paraId="60B3821C">
            <w:pPr>
              <w:pStyle w:val="14"/>
              <w:rPr>
                <w:rFonts w:hint="default" w:eastAsia="宋体"/>
                <w:lang w:val="en-US" w:eastAsia="zh-CN"/>
              </w:rPr>
            </w:pPr>
            <w:bookmarkStart w:id="83" w:name="_GoBack"/>
            <w:bookmarkEnd w:id="83"/>
          </w:p>
        </w:tc>
      </w:tr>
      <w:tr w14:paraId="2A8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178DF0C">
            <w:pPr>
              <w:pStyle w:val="14"/>
              <w:jc w:val="center"/>
            </w:pPr>
          </w:p>
        </w:tc>
        <w:tc>
          <w:tcPr>
            <w:tcW w:w="1196" w:type="dxa"/>
            <w:vAlign w:val="center"/>
          </w:tcPr>
          <w:p w14:paraId="4D59FC26">
            <w:pPr>
              <w:pStyle w:val="14"/>
              <w:jc w:val="center"/>
            </w:pPr>
            <w:r>
              <w:rPr>
                <w:rFonts w:hint="eastAsia" w:ascii="仿宋" w:hAnsi="仿宋" w:eastAsia="仿宋"/>
                <w:sz w:val="24"/>
              </w:rPr>
              <w:t>形式</w:t>
            </w:r>
          </w:p>
        </w:tc>
        <w:tc>
          <w:tcPr>
            <w:tcW w:w="1992" w:type="dxa"/>
            <w:vAlign w:val="center"/>
          </w:tcPr>
          <w:p w14:paraId="1330B965">
            <w:pPr>
              <w:pStyle w:val="14"/>
              <w:jc w:val="center"/>
            </w:pPr>
            <w:r>
              <w:rPr>
                <w:rFonts w:hint="eastAsia"/>
                <w:snapToGrid w:val="0"/>
                <w:szCs w:val="21"/>
              </w:rPr>
              <w:t>颗粒状</w:t>
            </w:r>
          </w:p>
        </w:tc>
        <w:tc>
          <w:tcPr>
            <w:tcW w:w="588" w:type="dxa"/>
            <w:vMerge w:val="continue"/>
            <w:vAlign w:val="center"/>
          </w:tcPr>
          <w:p w14:paraId="012FB8D6">
            <w:pPr>
              <w:pStyle w:val="14"/>
              <w:jc w:val="center"/>
            </w:pPr>
          </w:p>
        </w:tc>
        <w:tc>
          <w:tcPr>
            <w:tcW w:w="1185" w:type="dxa"/>
            <w:vMerge w:val="continue"/>
            <w:vAlign w:val="center"/>
          </w:tcPr>
          <w:p w14:paraId="47AA55D1">
            <w:pPr>
              <w:pStyle w:val="14"/>
              <w:jc w:val="center"/>
            </w:pPr>
          </w:p>
        </w:tc>
        <w:tc>
          <w:tcPr>
            <w:tcW w:w="1134" w:type="dxa"/>
            <w:vMerge w:val="continue"/>
          </w:tcPr>
          <w:p w14:paraId="6E549000">
            <w:pPr>
              <w:pStyle w:val="14"/>
              <w:jc w:val="center"/>
            </w:pPr>
          </w:p>
        </w:tc>
        <w:tc>
          <w:tcPr>
            <w:tcW w:w="1134" w:type="dxa"/>
            <w:vMerge w:val="continue"/>
          </w:tcPr>
          <w:p w14:paraId="0EE983D0">
            <w:pPr>
              <w:pStyle w:val="14"/>
              <w:jc w:val="center"/>
            </w:pPr>
          </w:p>
        </w:tc>
        <w:tc>
          <w:tcPr>
            <w:tcW w:w="1559" w:type="dxa"/>
            <w:vMerge w:val="continue"/>
            <w:vAlign w:val="center"/>
          </w:tcPr>
          <w:p w14:paraId="7575C259">
            <w:pPr>
              <w:pStyle w:val="14"/>
              <w:jc w:val="center"/>
            </w:pPr>
          </w:p>
        </w:tc>
      </w:tr>
      <w:tr w14:paraId="7F11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7C9DA868">
            <w:pPr>
              <w:pStyle w:val="14"/>
              <w:jc w:val="center"/>
            </w:pPr>
          </w:p>
        </w:tc>
        <w:tc>
          <w:tcPr>
            <w:tcW w:w="1196" w:type="dxa"/>
            <w:vAlign w:val="center"/>
          </w:tcPr>
          <w:p w14:paraId="25DBF8B6">
            <w:pPr>
              <w:pStyle w:val="14"/>
              <w:jc w:val="center"/>
            </w:pPr>
            <w:r>
              <w:rPr>
                <w:rFonts w:hint="eastAsia" w:ascii="仿宋" w:hAnsi="仿宋" w:eastAsia="仿宋" w:cs="仿宋"/>
                <w:sz w:val="28"/>
                <w:szCs w:val="28"/>
              </w:rPr>
              <w:t>含氮量</w:t>
            </w:r>
          </w:p>
        </w:tc>
        <w:tc>
          <w:tcPr>
            <w:tcW w:w="1992" w:type="dxa"/>
            <w:vAlign w:val="center"/>
          </w:tcPr>
          <w:p w14:paraId="13DCF5FD">
            <w:pPr>
              <w:pStyle w:val="14"/>
              <w:jc w:val="cente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588" w:type="dxa"/>
            <w:vMerge w:val="continue"/>
            <w:vAlign w:val="center"/>
          </w:tcPr>
          <w:p w14:paraId="72358E82">
            <w:pPr>
              <w:pStyle w:val="14"/>
              <w:jc w:val="center"/>
            </w:pPr>
          </w:p>
        </w:tc>
        <w:tc>
          <w:tcPr>
            <w:tcW w:w="1185" w:type="dxa"/>
            <w:vMerge w:val="continue"/>
            <w:vAlign w:val="center"/>
          </w:tcPr>
          <w:p w14:paraId="38244A84">
            <w:pPr>
              <w:pStyle w:val="14"/>
              <w:jc w:val="center"/>
            </w:pPr>
          </w:p>
        </w:tc>
        <w:tc>
          <w:tcPr>
            <w:tcW w:w="1134" w:type="dxa"/>
            <w:vMerge w:val="continue"/>
          </w:tcPr>
          <w:p w14:paraId="461E39BA">
            <w:pPr>
              <w:pStyle w:val="14"/>
              <w:jc w:val="center"/>
            </w:pPr>
          </w:p>
        </w:tc>
        <w:tc>
          <w:tcPr>
            <w:tcW w:w="1134" w:type="dxa"/>
            <w:vMerge w:val="continue"/>
          </w:tcPr>
          <w:p w14:paraId="64C13F02">
            <w:pPr>
              <w:pStyle w:val="14"/>
              <w:jc w:val="center"/>
            </w:pPr>
          </w:p>
        </w:tc>
        <w:tc>
          <w:tcPr>
            <w:tcW w:w="1559" w:type="dxa"/>
            <w:vMerge w:val="continue"/>
            <w:vAlign w:val="center"/>
          </w:tcPr>
          <w:p w14:paraId="2ABDE0A3">
            <w:pPr>
              <w:pStyle w:val="14"/>
              <w:jc w:val="center"/>
            </w:pPr>
          </w:p>
        </w:tc>
      </w:tr>
      <w:tr w14:paraId="3F00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78F79E81">
            <w:pPr>
              <w:pStyle w:val="14"/>
              <w:jc w:val="center"/>
            </w:pPr>
          </w:p>
        </w:tc>
        <w:tc>
          <w:tcPr>
            <w:tcW w:w="1196" w:type="dxa"/>
            <w:vAlign w:val="center"/>
          </w:tcPr>
          <w:p w14:paraId="7FDA819B">
            <w:pPr>
              <w:autoSpaceDE w:val="0"/>
              <w:autoSpaceDN w:val="0"/>
              <w:spacing w:line="360" w:lineRule="auto"/>
              <w:jc w:val="center"/>
              <w:rPr>
                <w:rFonts w:ascii="仿宋" w:hAnsi="仿宋" w:eastAsia="仿宋"/>
                <w:sz w:val="24"/>
              </w:rPr>
            </w:pPr>
            <w:r>
              <w:rPr>
                <w:rFonts w:hint="eastAsia" w:ascii="仿宋" w:hAnsi="仿宋" w:eastAsia="仿宋"/>
                <w:sz w:val="24"/>
              </w:rPr>
              <w:t>水不溶物</w:t>
            </w:r>
          </w:p>
        </w:tc>
        <w:tc>
          <w:tcPr>
            <w:tcW w:w="1992" w:type="dxa"/>
            <w:vAlign w:val="center"/>
          </w:tcPr>
          <w:p w14:paraId="3BDB7A78">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0.04%</w:t>
            </w:r>
          </w:p>
        </w:tc>
        <w:tc>
          <w:tcPr>
            <w:tcW w:w="588" w:type="dxa"/>
            <w:vMerge w:val="continue"/>
            <w:vAlign w:val="center"/>
          </w:tcPr>
          <w:p w14:paraId="668096E5">
            <w:pPr>
              <w:pStyle w:val="14"/>
              <w:jc w:val="center"/>
            </w:pPr>
          </w:p>
        </w:tc>
        <w:tc>
          <w:tcPr>
            <w:tcW w:w="1185" w:type="dxa"/>
            <w:vMerge w:val="continue"/>
            <w:vAlign w:val="center"/>
          </w:tcPr>
          <w:p w14:paraId="000EFE44">
            <w:pPr>
              <w:pStyle w:val="14"/>
              <w:jc w:val="center"/>
            </w:pPr>
          </w:p>
        </w:tc>
        <w:tc>
          <w:tcPr>
            <w:tcW w:w="1134" w:type="dxa"/>
            <w:vMerge w:val="continue"/>
          </w:tcPr>
          <w:p w14:paraId="776BC858">
            <w:pPr>
              <w:pStyle w:val="14"/>
              <w:jc w:val="center"/>
            </w:pPr>
          </w:p>
        </w:tc>
        <w:tc>
          <w:tcPr>
            <w:tcW w:w="1134" w:type="dxa"/>
            <w:vMerge w:val="continue"/>
          </w:tcPr>
          <w:p w14:paraId="186A41DF">
            <w:pPr>
              <w:pStyle w:val="14"/>
              <w:jc w:val="center"/>
            </w:pPr>
          </w:p>
        </w:tc>
        <w:tc>
          <w:tcPr>
            <w:tcW w:w="1559" w:type="dxa"/>
            <w:vMerge w:val="continue"/>
            <w:vAlign w:val="center"/>
          </w:tcPr>
          <w:p w14:paraId="190F0AE0">
            <w:pPr>
              <w:pStyle w:val="14"/>
              <w:jc w:val="center"/>
            </w:pPr>
          </w:p>
        </w:tc>
      </w:tr>
      <w:tr w14:paraId="6A73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A7FEDBE">
            <w:pPr>
              <w:pStyle w:val="14"/>
              <w:jc w:val="center"/>
            </w:pPr>
          </w:p>
        </w:tc>
        <w:tc>
          <w:tcPr>
            <w:tcW w:w="1196" w:type="dxa"/>
            <w:vAlign w:val="center"/>
          </w:tcPr>
          <w:p w14:paraId="05679882">
            <w:pPr>
              <w:autoSpaceDE w:val="0"/>
              <w:autoSpaceDN w:val="0"/>
              <w:spacing w:line="360" w:lineRule="auto"/>
              <w:jc w:val="center"/>
              <w:rPr>
                <w:rFonts w:ascii="仿宋" w:hAnsi="仿宋" w:eastAsia="仿宋"/>
                <w:sz w:val="24"/>
              </w:rPr>
            </w:pPr>
            <w:r>
              <w:rPr>
                <w:rFonts w:hint="eastAsia" w:ascii="仿宋" w:hAnsi="仿宋" w:eastAsia="仿宋"/>
                <w:sz w:val="24"/>
              </w:rPr>
              <w:t>缩二脲</w:t>
            </w:r>
          </w:p>
        </w:tc>
        <w:tc>
          <w:tcPr>
            <w:tcW w:w="1992" w:type="dxa"/>
            <w:vAlign w:val="center"/>
          </w:tcPr>
          <w:p w14:paraId="3BF08EDA">
            <w:pPr>
              <w:autoSpaceDE w:val="0"/>
              <w:autoSpaceDN w:val="0"/>
              <w:spacing w:line="360" w:lineRule="auto"/>
              <w:jc w:val="center"/>
              <w:rPr>
                <w:rFonts w:ascii="仿宋" w:hAnsi="仿宋" w:eastAsia="仿宋"/>
                <w:sz w:val="24"/>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588" w:type="dxa"/>
            <w:vMerge w:val="continue"/>
            <w:vAlign w:val="center"/>
          </w:tcPr>
          <w:p w14:paraId="3CFA8C81">
            <w:pPr>
              <w:pStyle w:val="14"/>
              <w:jc w:val="center"/>
            </w:pPr>
          </w:p>
        </w:tc>
        <w:tc>
          <w:tcPr>
            <w:tcW w:w="1185" w:type="dxa"/>
            <w:vMerge w:val="continue"/>
            <w:vAlign w:val="center"/>
          </w:tcPr>
          <w:p w14:paraId="3D3EDED5">
            <w:pPr>
              <w:pStyle w:val="14"/>
              <w:jc w:val="center"/>
            </w:pPr>
          </w:p>
        </w:tc>
        <w:tc>
          <w:tcPr>
            <w:tcW w:w="1134" w:type="dxa"/>
            <w:vMerge w:val="continue"/>
          </w:tcPr>
          <w:p w14:paraId="0265EDD8">
            <w:pPr>
              <w:pStyle w:val="14"/>
              <w:jc w:val="center"/>
            </w:pPr>
          </w:p>
        </w:tc>
        <w:tc>
          <w:tcPr>
            <w:tcW w:w="1134" w:type="dxa"/>
            <w:vMerge w:val="continue"/>
          </w:tcPr>
          <w:p w14:paraId="510270FA">
            <w:pPr>
              <w:pStyle w:val="14"/>
              <w:jc w:val="center"/>
            </w:pPr>
          </w:p>
        </w:tc>
        <w:tc>
          <w:tcPr>
            <w:tcW w:w="1559" w:type="dxa"/>
            <w:vMerge w:val="continue"/>
            <w:vAlign w:val="center"/>
          </w:tcPr>
          <w:p w14:paraId="76F0D13C">
            <w:pPr>
              <w:pStyle w:val="14"/>
              <w:jc w:val="center"/>
            </w:pPr>
          </w:p>
        </w:tc>
      </w:tr>
      <w:tr w14:paraId="7226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E888E09">
            <w:pPr>
              <w:pStyle w:val="14"/>
              <w:jc w:val="center"/>
            </w:pPr>
          </w:p>
        </w:tc>
        <w:tc>
          <w:tcPr>
            <w:tcW w:w="1196" w:type="dxa"/>
            <w:vAlign w:val="center"/>
          </w:tcPr>
          <w:p w14:paraId="7DD57FA4">
            <w:pPr>
              <w:autoSpaceDE w:val="0"/>
              <w:autoSpaceDN w:val="0"/>
              <w:spacing w:line="360" w:lineRule="auto"/>
              <w:jc w:val="center"/>
              <w:rPr>
                <w:rFonts w:ascii="仿宋" w:hAnsi="仿宋" w:eastAsia="仿宋"/>
                <w:sz w:val="24"/>
              </w:rPr>
            </w:pPr>
            <w:r>
              <w:rPr>
                <w:rFonts w:hint="eastAsia" w:ascii="仿宋" w:hAnsi="仿宋" w:eastAsia="仿宋"/>
                <w:sz w:val="24"/>
              </w:rPr>
              <w:t>水份</w:t>
            </w:r>
          </w:p>
        </w:tc>
        <w:tc>
          <w:tcPr>
            <w:tcW w:w="1992" w:type="dxa"/>
            <w:vAlign w:val="center"/>
          </w:tcPr>
          <w:p w14:paraId="3DF1759C">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588" w:type="dxa"/>
            <w:vMerge w:val="continue"/>
            <w:vAlign w:val="center"/>
          </w:tcPr>
          <w:p w14:paraId="5EC02956">
            <w:pPr>
              <w:pStyle w:val="14"/>
              <w:jc w:val="center"/>
            </w:pPr>
          </w:p>
        </w:tc>
        <w:tc>
          <w:tcPr>
            <w:tcW w:w="1185" w:type="dxa"/>
            <w:vMerge w:val="continue"/>
            <w:vAlign w:val="center"/>
          </w:tcPr>
          <w:p w14:paraId="77A326DB">
            <w:pPr>
              <w:pStyle w:val="14"/>
              <w:jc w:val="center"/>
            </w:pPr>
          </w:p>
        </w:tc>
        <w:tc>
          <w:tcPr>
            <w:tcW w:w="1134" w:type="dxa"/>
            <w:vMerge w:val="continue"/>
          </w:tcPr>
          <w:p w14:paraId="4983C6A0">
            <w:pPr>
              <w:pStyle w:val="14"/>
              <w:jc w:val="center"/>
            </w:pPr>
          </w:p>
        </w:tc>
        <w:tc>
          <w:tcPr>
            <w:tcW w:w="1134" w:type="dxa"/>
            <w:vMerge w:val="continue"/>
          </w:tcPr>
          <w:p w14:paraId="37E8BCCE">
            <w:pPr>
              <w:pStyle w:val="14"/>
              <w:jc w:val="center"/>
            </w:pPr>
          </w:p>
        </w:tc>
        <w:tc>
          <w:tcPr>
            <w:tcW w:w="1559" w:type="dxa"/>
            <w:vMerge w:val="continue"/>
            <w:vAlign w:val="center"/>
          </w:tcPr>
          <w:p w14:paraId="71195A8D">
            <w:pPr>
              <w:pStyle w:val="14"/>
              <w:jc w:val="center"/>
            </w:pPr>
          </w:p>
        </w:tc>
      </w:tr>
      <w:tr w14:paraId="47ED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7175905">
            <w:pPr>
              <w:pStyle w:val="14"/>
              <w:jc w:val="center"/>
            </w:pPr>
          </w:p>
        </w:tc>
        <w:tc>
          <w:tcPr>
            <w:tcW w:w="1196" w:type="dxa"/>
            <w:vAlign w:val="center"/>
          </w:tcPr>
          <w:p w14:paraId="621B3B50">
            <w:pPr>
              <w:autoSpaceDE w:val="0"/>
              <w:autoSpaceDN w:val="0"/>
              <w:spacing w:line="360" w:lineRule="auto"/>
              <w:jc w:val="center"/>
              <w:rPr>
                <w:rFonts w:ascii="仿宋" w:hAnsi="仿宋" w:eastAsia="仿宋"/>
                <w:sz w:val="24"/>
              </w:rPr>
            </w:pPr>
            <w:r>
              <w:rPr>
                <w:rFonts w:hint="eastAsia" w:ascii="仿宋" w:hAnsi="仿宋" w:eastAsia="仿宋"/>
                <w:sz w:val="24"/>
              </w:rPr>
              <w:t>铁</w:t>
            </w:r>
          </w:p>
        </w:tc>
        <w:tc>
          <w:tcPr>
            <w:tcW w:w="1992" w:type="dxa"/>
            <w:vAlign w:val="center"/>
          </w:tcPr>
          <w:p w14:paraId="3403C8F2">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0.001%</w:t>
            </w:r>
          </w:p>
        </w:tc>
        <w:tc>
          <w:tcPr>
            <w:tcW w:w="588" w:type="dxa"/>
            <w:vMerge w:val="continue"/>
            <w:vAlign w:val="center"/>
          </w:tcPr>
          <w:p w14:paraId="2639876C">
            <w:pPr>
              <w:pStyle w:val="14"/>
              <w:jc w:val="center"/>
            </w:pPr>
          </w:p>
        </w:tc>
        <w:tc>
          <w:tcPr>
            <w:tcW w:w="1185" w:type="dxa"/>
            <w:vMerge w:val="continue"/>
            <w:vAlign w:val="center"/>
          </w:tcPr>
          <w:p w14:paraId="6CFFA0C1">
            <w:pPr>
              <w:pStyle w:val="14"/>
              <w:jc w:val="center"/>
            </w:pPr>
          </w:p>
        </w:tc>
        <w:tc>
          <w:tcPr>
            <w:tcW w:w="1134" w:type="dxa"/>
            <w:vMerge w:val="continue"/>
          </w:tcPr>
          <w:p w14:paraId="37AED212">
            <w:pPr>
              <w:pStyle w:val="14"/>
              <w:jc w:val="center"/>
            </w:pPr>
          </w:p>
        </w:tc>
        <w:tc>
          <w:tcPr>
            <w:tcW w:w="1134" w:type="dxa"/>
            <w:vMerge w:val="continue"/>
          </w:tcPr>
          <w:p w14:paraId="1DD37208">
            <w:pPr>
              <w:pStyle w:val="14"/>
              <w:jc w:val="center"/>
            </w:pPr>
          </w:p>
        </w:tc>
        <w:tc>
          <w:tcPr>
            <w:tcW w:w="1559" w:type="dxa"/>
            <w:vMerge w:val="continue"/>
            <w:vAlign w:val="center"/>
          </w:tcPr>
          <w:p w14:paraId="2F7683F4">
            <w:pPr>
              <w:pStyle w:val="14"/>
              <w:jc w:val="center"/>
            </w:pPr>
          </w:p>
        </w:tc>
      </w:tr>
      <w:tr w14:paraId="420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701EAC9">
            <w:pPr>
              <w:pStyle w:val="14"/>
              <w:jc w:val="center"/>
            </w:pPr>
          </w:p>
        </w:tc>
        <w:tc>
          <w:tcPr>
            <w:tcW w:w="1196" w:type="dxa"/>
            <w:vAlign w:val="center"/>
          </w:tcPr>
          <w:p w14:paraId="7C69A0DE">
            <w:pPr>
              <w:autoSpaceDE w:val="0"/>
              <w:autoSpaceDN w:val="0"/>
              <w:spacing w:line="360" w:lineRule="auto"/>
              <w:jc w:val="center"/>
              <w:rPr>
                <w:rFonts w:ascii="仿宋" w:hAnsi="仿宋" w:eastAsia="仿宋"/>
                <w:sz w:val="24"/>
              </w:rPr>
            </w:pPr>
            <w:r>
              <w:rPr>
                <w:rFonts w:hint="eastAsia" w:ascii="仿宋" w:hAnsi="仿宋" w:eastAsia="仿宋"/>
                <w:sz w:val="24"/>
              </w:rPr>
              <w:t>碱度</w:t>
            </w:r>
          </w:p>
        </w:tc>
        <w:tc>
          <w:tcPr>
            <w:tcW w:w="1992" w:type="dxa"/>
            <w:vAlign w:val="center"/>
          </w:tcPr>
          <w:p w14:paraId="626AE4A7">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0.03%</w:t>
            </w:r>
          </w:p>
        </w:tc>
        <w:tc>
          <w:tcPr>
            <w:tcW w:w="588" w:type="dxa"/>
            <w:vMerge w:val="continue"/>
            <w:vAlign w:val="center"/>
          </w:tcPr>
          <w:p w14:paraId="47531477">
            <w:pPr>
              <w:pStyle w:val="14"/>
              <w:jc w:val="center"/>
            </w:pPr>
          </w:p>
        </w:tc>
        <w:tc>
          <w:tcPr>
            <w:tcW w:w="1185" w:type="dxa"/>
            <w:vMerge w:val="continue"/>
            <w:vAlign w:val="center"/>
          </w:tcPr>
          <w:p w14:paraId="4A058008">
            <w:pPr>
              <w:pStyle w:val="14"/>
              <w:jc w:val="center"/>
            </w:pPr>
          </w:p>
        </w:tc>
        <w:tc>
          <w:tcPr>
            <w:tcW w:w="1134" w:type="dxa"/>
            <w:vMerge w:val="continue"/>
          </w:tcPr>
          <w:p w14:paraId="6C1091E5">
            <w:pPr>
              <w:pStyle w:val="14"/>
              <w:jc w:val="center"/>
            </w:pPr>
          </w:p>
        </w:tc>
        <w:tc>
          <w:tcPr>
            <w:tcW w:w="1134" w:type="dxa"/>
            <w:vMerge w:val="continue"/>
          </w:tcPr>
          <w:p w14:paraId="1E437BE7">
            <w:pPr>
              <w:pStyle w:val="14"/>
              <w:jc w:val="center"/>
            </w:pPr>
          </w:p>
        </w:tc>
        <w:tc>
          <w:tcPr>
            <w:tcW w:w="1559" w:type="dxa"/>
            <w:vMerge w:val="continue"/>
            <w:vAlign w:val="center"/>
          </w:tcPr>
          <w:p w14:paraId="4E71B5EA">
            <w:pPr>
              <w:pStyle w:val="14"/>
              <w:jc w:val="center"/>
            </w:pPr>
          </w:p>
        </w:tc>
      </w:tr>
      <w:tr w14:paraId="51A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B47ED5D">
            <w:pPr>
              <w:pStyle w:val="14"/>
              <w:jc w:val="center"/>
            </w:pPr>
          </w:p>
        </w:tc>
        <w:tc>
          <w:tcPr>
            <w:tcW w:w="1196" w:type="dxa"/>
            <w:vAlign w:val="center"/>
          </w:tcPr>
          <w:p w14:paraId="06C05849">
            <w:pPr>
              <w:spacing w:line="360" w:lineRule="auto"/>
              <w:jc w:val="center"/>
              <w:rPr>
                <w:rFonts w:ascii="仿宋" w:hAnsi="仿宋" w:eastAsia="仿宋"/>
                <w:sz w:val="24"/>
              </w:rPr>
            </w:pPr>
            <w:r>
              <w:rPr>
                <w:rFonts w:ascii="仿宋" w:hAnsi="仿宋" w:eastAsia="仿宋"/>
                <w:sz w:val="24"/>
              </w:rPr>
              <w:t>硫酸盐</w:t>
            </w:r>
          </w:p>
        </w:tc>
        <w:tc>
          <w:tcPr>
            <w:tcW w:w="1992" w:type="dxa"/>
            <w:vAlign w:val="center"/>
          </w:tcPr>
          <w:p w14:paraId="4F16A779">
            <w:pPr>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0.02%</w:t>
            </w:r>
          </w:p>
        </w:tc>
        <w:tc>
          <w:tcPr>
            <w:tcW w:w="588" w:type="dxa"/>
            <w:vMerge w:val="continue"/>
            <w:vAlign w:val="center"/>
          </w:tcPr>
          <w:p w14:paraId="2768C1B8">
            <w:pPr>
              <w:pStyle w:val="14"/>
              <w:jc w:val="center"/>
            </w:pPr>
          </w:p>
        </w:tc>
        <w:tc>
          <w:tcPr>
            <w:tcW w:w="1185" w:type="dxa"/>
            <w:vMerge w:val="continue"/>
            <w:vAlign w:val="center"/>
          </w:tcPr>
          <w:p w14:paraId="13FD5187">
            <w:pPr>
              <w:pStyle w:val="14"/>
              <w:jc w:val="center"/>
            </w:pPr>
          </w:p>
        </w:tc>
        <w:tc>
          <w:tcPr>
            <w:tcW w:w="1134" w:type="dxa"/>
            <w:vMerge w:val="continue"/>
          </w:tcPr>
          <w:p w14:paraId="37142D50">
            <w:pPr>
              <w:pStyle w:val="14"/>
              <w:jc w:val="center"/>
            </w:pPr>
          </w:p>
        </w:tc>
        <w:tc>
          <w:tcPr>
            <w:tcW w:w="1134" w:type="dxa"/>
            <w:vMerge w:val="continue"/>
          </w:tcPr>
          <w:p w14:paraId="57DE8821">
            <w:pPr>
              <w:pStyle w:val="14"/>
              <w:jc w:val="center"/>
            </w:pPr>
          </w:p>
        </w:tc>
        <w:tc>
          <w:tcPr>
            <w:tcW w:w="1559" w:type="dxa"/>
            <w:vMerge w:val="continue"/>
            <w:vAlign w:val="center"/>
          </w:tcPr>
          <w:p w14:paraId="0E8D4E74">
            <w:pPr>
              <w:pStyle w:val="14"/>
              <w:jc w:val="center"/>
            </w:pPr>
          </w:p>
        </w:tc>
      </w:tr>
    </w:tbl>
    <w:p w14:paraId="3B83ED2D">
      <w:pPr>
        <w:rPr>
          <w:rFonts w:hint="eastAsia"/>
        </w:rPr>
      </w:pPr>
    </w:p>
    <w:p w14:paraId="6361580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尿素质量执行中华人民共和国国家标准：GB/T 2440—2017农业用（肥料）尿素优等品质量标准。若该中华人民共和国化工行业标准发生变化，按最新标准执行。同时尿素必须是全新的，要求为细颗粒的，不允许结块，防潮袋装。以上数量为暂定数量，具体数量以甲方实际运营所需来定，甲方会根据实际运行情况提前两天通知乙方送货并告知所送货的数量。乙方负责运输和卸货</w:t>
      </w:r>
      <w:r>
        <w:rPr>
          <w:rFonts w:hint="eastAsia" w:cs="Times New Roman" w:asciiTheme="minorHAnsi" w:hAnsiTheme="minorHAnsi" w:eastAsiaTheme="minorEastAsia"/>
          <w:b w:val="0"/>
          <w:bCs w:val="0"/>
          <w:kern w:val="2"/>
          <w:sz w:val="21"/>
          <w:szCs w:val="21"/>
          <w:lang w:eastAsia="zh-CN"/>
        </w:rPr>
        <w:t>、</w:t>
      </w:r>
      <w:r>
        <w:rPr>
          <w:rFonts w:hint="eastAsia" w:cs="Times New Roman" w:asciiTheme="minorHAnsi" w:hAnsiTheme="minorHAnsi" w:eastAsiaTheme="minorEastAsia"/>
          <w:b w:val="0"/>
          <w:bCs w:val="0"/>
          <w:kern w:val="2"/>
          <w:sz w:val="21"/>
          <w:szCs w:val="21"/>
        </w:rPr>
        <w:t>开具9%增值税专用发票</w:t>
      </w:r>
      <w:r>
        <w:rPr>
          <w:rFonts w:hint="eastAsia" w:cs="Times New Roman" w:asciiTheme="minorHAnsi" w:hAnsiTheme="minorHAnsi" w:eastAsiaTheme="minorEastAsia"/>
          <w:b w:val="0"/>
          <w:bCs w:val="0"/>
          <w:kern w:val="2"/>
          <w:sz w:val="21"/>
          <w:szCs w:val="21"/>
          <w:lang w:eastAsia="zh-CN"/>
        </w:rPr>
        <w:t>。</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w:t>
      </w:r>
      <w:r>
        <w:rPr>
          <w:rFonts w:hint="eastAsia" w:cs="Times New Roman" w:asciiTheme="minorHAnsi" w:hAnsiTheme="minorHAnsi" w:eastAsiaTheme="minorEastAsia"/>
          <w:b/>
          <w:bCs/>
          <w:kern w:val="2"/>
          <w:sz w:val="21"/>
          <w:szCs w:val="21"/>
        </w:rPr>
        <w:t>每月21号统计上月21-本月20日实际交货的数量（经甲方验收合格），通知乙方开票、实际付款时间为甲方收到乙方发票后</w:t>
      </w:r>
      <w:r>
        <w:rPr>
          <w:rFonts w:hint="eastAsia" w:cs="Times New Roman" w:asciiTheme="minorHAnsi" w:hAnsiTheme="minorHAnsi" w:eastAsiaTheme="minorEastAsia"/>
          <w:b/>
          <w:bCs/>
          <w:kern w:val="2"/>
          <w:sz w:val="21"/>
          <w:szCs w:val="21"/>
          <w:lang w:val="en-US" w:eastAsia="zh-CN"/>
        </w:rPr>
        <w:t>60</w:t>
      </w:r>
      <w:r>
        <w:rPr>
          <w:rFonts w:hint="eastAsia" w:cs="Times New Roman" w:asciiTheme="minorHAnsi" w:hAnsiTheme="minorHAnsi" w:eastAsiaTheme="minorEastAsia"/>
          <w:b/>
          <w:bCs/>
          <w:kern w:val="2"/>
          <w:sz w:val="21"/>
          <w:szCs w:val="21"/>
        </w:rPr>
        <w:t>天左右付款</w:t>
      </w:r>
      <w:r>
        <w:rPr>
          <w:rFonts w:hint="eastAsia" w:cs="Times New Roman" w:asciiTheme="minorHAnsi" w:hAnsiTheme="minorHAnsi" w:eastAsiaTheme="minorEastAsia"/>
          <w:b w:val="0"/>
          <w:bCs w:val="0"/>
          <w:kern w:val="2"/>
          <w:sz w:val="21"/>
          <w:szCs w:val="21"/>
        </w:rPr>
        <w:t>。</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广东省吴川市环保热力发电厂及配套设施项目处理厂内</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696"/>
      <w:bookmarkStart w:id="72" w:name="_Toc456799804"/>
      <w:bookmarkStart w:id="73" w:name="_Toc176085649"/>
      <w:bookmarkStart w:id="74" w:name="_Toc45679995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4521077"/>
      <w:bookmarkStart w:id="76"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吴川垃圾发电项目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w:t>
      </w:r>
      <w:r>
        <w:rPr>
          <w:rFonts w:hint="eastAsia" w:ascii="宋体" w:hAnsi="宋体" w:eastAsia="宋体" w:cs="Times New Roman"/>
          <w:sz w:val="44"/>
          <w:szCs w:val="44"/>
          <w:lang w:eastAsia="zh-CN"/>
        </w:rPr>
        <w:t>尿素</w:t>
      </w:r>
      <w:r>
        <w:rPr>
          <w:rFonts w:hint="eastAsia" w:ascii="宋体" w:hAnsi="宋体" w:eastAsia="宋体" w:cs="Times New Roman"/>
          <w:sz w:val="44"/>
          <w:szCs w:val="44"/>
        </w:rPr>
        <w:t>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LK-ZJLK-ZB-JC2026-003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73866512">
      <w:pPr>
        <w:tabs>
          <w:tab w:val="left" w:pos="502"/>
          <w:tab w:val="left" w:pos="709"/>
        </w:tabs>
        <w:adjustRightInd w:val="0"/>
        <w:snapToGrid w:val="0"/>
        <w:spacing w:line="440" w:lineRule="exact"/>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项目地址二：位于广东省湛江市朗坤环保能源有限公司。该项目配备两台日处理500吨机械炉排焚烧炉，烟气处理设计为半干法脱硫+SNCR+活性炭+布袋除尘。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lang w:eastAsia="zh-CN"/>
        </w:rPr>
        <w:t>吴川</w:t>
      </w:r>
      <w:r>
        <w:rPr>
          <w:rFonts w:hint="eastAsia" w:ascii="仿宋" w:hAnsi="仿宋" w:eastAsia="仿宋" w:cs="仿宋"/>
          <w:sz w:val="28"/>
          <w:szCs w:val="28"/>
        </w:rPr>
        <w:t>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尿素</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150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lang w:eastAsia="zh-CN"/>
        </w:rPr>
      </w:pPr>
      <w:r>
        <w:rPr>
          <w:rFonts w:hint="eastAsia" w:ascii="仿宋" w:hAnsi="仿宋" w:eastAsia="仿宋" w:cs="仿宋"/>
          <w:b/>
          <w:sz w:val="28"/>
          <w:szCs w:val="28"/>
        </w:rPr>
        <w:t>3.2</w:t>
      </w:r>
      <w:r>
        <w:rPr>
          <w:rFonts w:hint="eastAsia" w:ascii="仿宋" w:hAnsi="仿宋" w:eastAsia="仿宋" w:cs="仿宋"/>
          <w:b/>
          <w:sz w:val="28"/>
          <w:szCs w:val="28"/>
          <w:lang w:eastAsia="zh-CN"/>
        </w:rPr>
        <w:t>尿素</w:t>
      </w:r>
    </w:p>
    <w:p w14:paraId="1F7EB684">
      <w:pPr>
        <w:pStyle w:val="80"/>
        <w:numPr>
          <w:ilvl w:val="0"/>
          <w:numId w:val="2"/>
        </w:numPr>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尿素</w:t>
      </w:r>
      <w:r>
        <w:rPr>
          <w:rFonts w:hint="eastAsia" w:ascii="仿宋" w:hAnsi="仿宋" w:eastAsia="仿宋" w:cs="仿宋"/>
          <w:sz w:val="28"/>
          <w:szCs w:val="28"/>
        </w:rPr>
        <w:t>技术指标（表二）</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98"/>
      </w:tblGrid>
      <w:tr w14:paraId="1787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85F2AEE">
            <w:pPr>
              <w:spacing w:line="220" w:lineRule="atLeast"/>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1DF8D602">
            <w:pPr>
              <w:spacing w:line="220" w:lineRule="atLeast"/>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5BF42115">
            <w:pPr>
              <w:spacing w:line="220" w:lineRule="atLeast"/>
              <w:rPr>
                <w:rFonts w:hint="eastAsia" w:ascii="仿宋" w:hAnsi="仿宋" w:eastAsia="仿宋" w:cs="仿宋"/>
                <w:sz w:val="28"/>
                <w:szCs w:val="28"/>
              </w:rPr>
            </w:pPr>
            <w:r>
              <w:rPr>
                <w:rFonts w:hint="eastAsia" w:ascii="仿宋" w:hAnsi="仿宋" w:eastAsia="仿宋" w:cs="仿宋"/>
                <w:sz w:val="28"/>
                <w:szCs w:val="28"/>
              </w:rPr>
              <w:t>指标</w:t>
            </w:r>
          </w:p>
        </w:tc>
        <w:tc>
          <w:tcPr>
            <w:tcW w:w="2198" w:type="dxa"/>
            <w:noWrap w:val="0"/>
            <w:vAlign w:val="top"/>
          </w:tcPr>
          <w:p w14:paraId="4971CCA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677F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A09EAF7">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1</w:t>
            </w:r>
          </w:p>
        </w:tc>
        <w:tc>
          <w:tcPr>
            <w:tcW w:w="2995" w:type="dxa"/>
            <w:noWrap w:val="0"/>
            <w:vAlign w:val="center"/>
          </w:tcPr>
          <w:p w14:paraId="339989D1">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形式</w:t>
            </w:r>
          </w:p>
        </w:tc>
        <w:tc>
          <w:tcPr>
            <w:tcW w:w="2295" w:type="dxa"/>
            <w:noWrap w:val="0"/>
            <w:vAlign w:val="center"/>
          </w:tcPr>
          <w:p w14:paraId="29A51F71">
            <w:pPr>
              <w:pStyle w:val="14"/>
              <w:jc w:val="center"/>
              <w:rPr>
                <w:rFonts w:hint="eastAsia" w:ascii="仿宋" w:hAnsi="仿宋" w:eastAsia="仿宋" w:cs="仿宋"/>
                <w:sz w:val="28"/>
                <w:szCs w:val="28"/>
                <w:lang w:eastAsia="zh-CN"/>
              </w:rPr>
            </w:pPr>
            <w:r>
              <w:rPr>
                <w:rFonts w:hint="eastAsia"/>
                <w:snapToGrid w:val="0"/>
                <w:szCs w:val="21"/>
              </w:rPr>
              <w:t>颗粒状</w:t>
            </w:r>
          </w:p>
        </w:tc>
        <w:tc>
          <w:tcPr>
            <w:tcW w:w="2198" w:type="dxa"/>
            <w:noWrap w:val="0"/>
            <w:vAlign w:val="top"/>
          </w:tcPr>
          <w:p w14:paraId="3AD7524B">
            <w:pPr>
              <w:pStyle w:val="14"/>
              <w:jc w:val="center"/>
              <w:rPr>
                <w:rFonts w:hint="eastAsia" w:ascii="仿宋" w:hAnsi="仿宋" w:eastAsia="仿宋" w:cs="仿宋"/>
                <w:sz w:val="28"/>
                <w:szCs w:val="28"/>
                <w:lang w:eastAsia="zh-CN"/>
              </w:rPr>
            </w:pPr>
          </w:p>
        </w:tc>
      </w:tr>
      <w:tr w14:paraId="1820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BBF1687">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2</w:t>
            </w:r>
          </w:p>
        </w:tc>
        <w:tc>
          <w:tcPr>
            <w:tcW w:w="2995" w:type="dxa"/>
            <w:noWrap w:val="0"/>
            <w:vAlign w:val="center"/>
          </w:tcPr>
          <w:p w14:paraId="35BD8B45">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含氮量</w:t>
            </w:r>
          </w:p>
        </w:tc>
        <w:tc>
          <w:tcPr>
            <w:tcW w:w="2295" w:type="dxa"/>
            <w:noWrap w:val="0"/>
            <w:vAlign w:val="center"/>
          </w:tcPr>
          <w:p w14:paraId="1CD8254C">
            <w:pPr>
              <w:pStyle w:val="14"/>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2198" w:type="dxa"/>
            <w:noWrap w:val="0"/>
            <w:vAlign w:val="top"/>
          </w:tcPr>
          <w:p w14:paraId="3BA7B682">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防潮袋装</w:t>
            </w:r>
          </w:p>
        </w:tc>
      </w:tr>
      <w:tr w14:paraId="79EF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72214F3">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3</w:t>
            </w:r>
          </w:p>
        </w:tc>
        <w:tc>
          <w:tcPr>
            <w:tcW w:w="2995" w:type="dxa"/>
            <w:noWrap w:val="0"/>
            <w:vAlign w:val="center"/>
          </w:tcPr>
          <w:p w14:paraId="5FE0D7E5">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水不溶物</w:t>
            </w:r>
          </w:p>
        </w:tc>
        <w:tc>
          <w:tcPr>
            <w:tcW w:w="2295" w:type="dxa"/>
            <w:noWrap w:val="0"/>
            <w:vAlign w:val="center"/>
          </w:tcPr>
          <w:p w14:paraId="17CB84A9">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0.04%</w:t>
            </w:r>
          </w:p>
        </w:tc>
        <w:tc>
          <w:tcPr>
            <w:tcW w:w="2198" w:type="dxa"/>
            <w:noWrap w:val="0"/>
            <w:vAlign w:val="top"/>
          </w:tcPr>
          <w:p w14:paraId="751045E3">
            <w:pPr>
              <w:adjustRightInd w:val="0"/>
              <w:snapToGrid w:val="0"/>
              <w:spacing w:line="360" w:lineRule="auto"/>
              <w:jc w:val="center"/>
              <w:rPr>
                <w:rFonts w:hint="eastAsia" w:ascii="仿宋" w:hAnsi="仿宋" w:eastAsia="仿宋" w:cs="仿宋"/>
                <w:sz w:val="28"/>
                <w:szCs w:val="28"/>
                <w:lang w:eastAsia="zh-CN"/>
              </w:rPr>
            </w:pPr>
          </w:p>
        </w:tc>
      </w:tr>
      <w:tr w14:paraId="475F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B43E821">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4</w:t>
            </w:r>
          </w:p>
        </w:tc>
        <w:tc>
          <w:tcPr>
            <w:tcW w:w="2995" w:type="dxa"/>
            <w:noWrap w:val="0"/>
            <w:vAlign w:val="center"/>
          </w:tcPr>
          <w:p w14:paraId="2E337BC3">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缩二脲</w:t>
            </w:r>
          </w:p>
        </w:tc>
        <w:tc>
          <w:tcPr>
            <w:tcW w:w="2295" w:type="dxa"/>
            <w:noWrap w:val="0"/>
            <w:vAlign w:val="center"/>
          </w:tcPr>
          <w:p w14:paraId="45E40554">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2198" w:type="dxa"/>
            <w:noWrap w:val="0"/>
            <w:vAlign w:val="top"/>
          </w:tcPr>
          <w:p w14:paraId="56AA169A">
            <w:pPr>
              <w:adjustRightInd w:val="0"/>
              <w:snapToGrid w:val="0"/>
              <w:spacing w:line="360" w:lineRule="auto"/>
              <w:jc w:val="center"/>
              <w:rPr>
                <w:rFonts w:hint="eastAsia" w:ascii="仿宋" w:hAnsi="仿宋" w:eastAsia="仿宋" w:cs="仿宋"/>
                <w:sz w:val="28"/>
                <w:szCs w:val="28"/>
                <w:lang w:eastAsia="zh-CN"/>
              </w:rPr>
            </w:pPr>
          </w:p>
        </w:tc>
      </w:tr>
      <w:tr w14:paraId="4DEB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4E19C7B">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5</w:t>
            </w:r>
          </w:p>
        </w:tc>
        <w:tc>
          <w:tcPr>
            <w:tcW w:w="2995" w:type="dxa"/>
            <w:noWrap w:val="0"/>
            <w:vAlign w:val="center"/>
          </w:tcPr>
          <w:p w14:paraId="5E3246A4">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水份</w:t>
            </w:r>
          </w:p>
        </w:tc>
        <w:tc>
          <w:tcPr>
            <w:tcW w:w="2295" w:type="dxa"/>
            <w:noWrap w:val="0"/>
            <w:vAlign w:val="center"/>
          </w:tcPr>
          <w:p w14:paraId="4557A71E">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2198" w:type="dxa"/>
            <w:noWrap w:val="0"/>
            <w:vAlign w:val="top"/>
          </w:tcPr>
          <w:p w14:paraId="39838FC6">
            <w:pPr>
              <w:adjustRightInd w:val="0"/>
              <w:snapToGrid w:val="0"/>
              <w:spacing w:line="360" w:lineRule="auto"/>
              <w:jc w:val="center"/>
              <w:rPr>
                <w:rFonts w:hint="eastAsia" w:ascii="仿宋" w:hAnsi="仿宋" w:eastAsia="仿宋" w:cs="仿宋"/>
                <w:sz w:val="28"/>
                <w:szCs w:val="28"/>
                <w:lang w:eastAsia="zh-CN"/>
              </w:rPr>
            </w:pPr>
          </w:p>
        </w:tc>
      </w:tr>
      <w:tr w14:paraId="0993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9C89308">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w:t>
            </w:r>
          </w:p>
        </w:tc>
        <w:tc>
          <w:tcPr>
            <w:tcW w:w="2995" w:type="dxa"/>
            <w:noWrap w:val="0"/>
            <w:vAlign w:val="center"/>
          </w:tcPr>
          <w:p w14:paraId="39D5051D">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铁</w:t>
            </w:r>
          </w:p>
        </w:tc>
        <w:tc>
          <w:tcPr>
            <w:tcW w:w="2295" w:type="dxa"/>
            <w:noWrap w:val="0"/>
            <w:vAlign w:val="center"/>
          </w:tcPr>
          <w:p w14:paraId="6EFDEC59">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0.001%</w:t>
            </w:r>
          </w:p>
        </w:tc>
        <w:tc>
          <w:tcPr>
            <w:tcW w:w="2198" w:type="dxa"/>
            <w:noWrap w:val="0"/>
            <w:vAlign w:val="top"/>
          </w:tcPr>
          <w:p w14:paraId="5A352DA3">
            <w:pPr>
              <w:adjustRightInd w:val="0"/>
              <w:snapToGrid w:val="0"/>
              <w:spacing w:line="360" w:lineRule="auto"/>
              <w:jc w:val="center"/>
              <w:rPr>
                <w:rFonts w:hint="eastAsia" w:ascii="仿宋" w:hAnsi="仿宋" w:eastAsia="仿宋" w:cs="仿宋"/>
                <w:sz w:val="28"/>
                <w:szCs w:val="28"/>
                <w:lang w:eastAsia="zh-CN"/>
              </w:rPr>
            </w:pPr>
          </w:p>
        </w:tc>
      </w:tr>
      <w:tr w14:paraId="47ED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9EFA2A3">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w:t>
            </w:r>
          </w:p>
        </w:tc>
        <w:tc>
          <w:tcPr>
            <w:tcW w:w="2995" w:type="dxa"/>
            <w:noWrap w:val="0"/>
            <w:vAlign w:val="center"/>
          </w:tcPr>
          <w:p w14:paraId="33330576">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碱度</w:t>
            </w:r>
          </w:p>
        </w:tc>
        <w:tc>
          <w:tcPr>
            <w:tcW w:w="2295" w:type="dxa"/>
            <w:noWrap w:val="0"/>
            <w:vAlign w:val="center"/>
          </w:tcPr>
          <w:p w14:paraId="33604A03">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0.03%</w:t>
            </w:r>
          </w:p>
        </w:tc>
        <w:tc>
          <w:tcPr>
            <w:tcW w:w="2198" w:type="dxa"/>
            <w:noWrap w:val="0"/>
            <w:vAlign w:val="top"/>
          </w:tcPr>
          <w:p w14:paraId="2DF26F04">
            <w:pPr>
              <w:adjustRightInd w:val="0"/>
              <w:snapToGrid w:val="0"/>
              <w:spacing w:line="360" w:lineRule="auto"/>
              <w:jc w:val="center"/>
              <w:rPr>
                <w:rFonts w:hint="eastAsia" w:ascii="仿宋" w:hAnsi="仿宋" w:eastAsia="仿宋" w:cs="仿宋"/>
                <w:sz w:val="28"/>
                <w:szCs w:val="28"/>
                <w:lang w:eastAsia="zh-CN"/>
              </w:rPr>
            </w:pPr>
          </w:p>
        </w:tc>
      </w:tr>
      <w:tr w14:paraId="39DD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11E6D48D">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8</w:t>
            </w:r>
          </w:p>
        </w:tc>
        <w:tc>
          <w:tcPr>
            <w:tcW w:w="2995" w:type="dxa"/>
            <w:noWrap w:val="0"/>
            <w:vAlign w:val="center"/>
          </w:tcPr>
          <w:p w14:paraId="49843824">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硫酸盐</w:t>
            </w:r>
          </w:p>
        </w:tc>
        <w:tc>
          <w:tcPr>
            <w:tcW w:w="2295" w:type="dxa"/>
            <w:noWrap w:val="0"/>
            <w:vAlign w:val="center"/>
          </w:tcPr>
          <w:p w14:paraId="2946E743">
            <w:pPr>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0.02%</w:t>
            </w:r>
          </w:p>
        </w:tc>
        <w:tc>
          <w:tcPr>
            <w:tcW w:w="2198" w:type="dxa"/>
            <w:noWrap w:val="0"/>
            <w:vAlign w:val="top"/>
          </w:tcPr>
          <w:p w14:paraId="7E91D681">
            <w:pPr>
              <w:adjustRightInd w:val="0"/>
              <w:snapToGrid w:val="0"/>
              <w:spacing w:line="360" w:lineRule="auto"/>
              <w:jc w:val="center"/>
              <w:rPr>
                <w:rFonts w:hint="eastAsia" w:ascii="仿宋" w:hAnsi="仿宋" w:eastAsia="仿宋" w:cs="仿宋"/>
                <w:sz w:val="28"/>
                <w:szCs w:val="28"/>
                <w:lang w:eastAsia="zh-CN"/>
              </w:rPr>
            </w:pPr>
          </w:p>
        </w:tc>
      </w:tr>
    </w:tbl>
    <w:p w14:paraId="3C31E666">
      <w:pPr>
        <w:pStyle w:val="38"/>
        <w:spacing w:before="0" w:beforeAutospacing="0" w:after="0" w:afterAutospacing="0" w:line="360" w:lineRule="auto"/>
        <w:rPr>
          <w:rFonts w:hint="eastAsia" w:ascii="仿宋" w:hAnsi="仿宋" w:eastAsia="华文中宋" w:cs="仿宋"/>
          <w:color w:val="000000"/>
          <w:sz w:val="28"/>
          <w:szCs w:val="28"/>
          <w:lang w:val="en-US" w:eastAsia="zh-CN"/>
        </w:rPr>
      </w:pPr>
      <w:r>
        <w:rPr>
          <w:rFonts w:hint="eastAsia" w:ascii="仿宋" w:hAnsi="仿宋" w:eastAsia="仿宋" w:cs="仿宋"/>
          <w:kern w:val="2"/>
          <w:sz w:val="28"/>
          <w:szCs w:val="28"/>
          <w:lang w:val="en-US" w:eastAsia="zh-CN" w:bidi="ar-SA"/>
        </w:rPr>
        <w:t>尿素质量执行中华人民共和国国家标准：GB/T 2440—2017农业用（肥料）尿素优等品质量标准。若该中华人民共和国化工行业标准发生变化，按最新标准执行。同时尿素必须是全新的，要求为细颗粒的，不允许结块，防潮袋装。</w:t>
      </w:r>
    </w:p>
    <w:p w14:paraId="5278F8E8">
      <w:pPr>
        <w:spacing w:line="440" w:lineRule="exact"/>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运输和包装要求</w:t>
      </w:r>
    </w:p>
    <w:p w14:paraId="0609F95D">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1.运输要求</w:t>
      </w:r>
    </w:p>
    <w:p w14:paraId="5DFF47C3">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*1.1每次送  吨左右；</w:t>
      </w:r>
    </w:p>
    <w:p w14:paraId="629A077D">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2.包装要求</w:t>
      </w:r>
    </w:p>
    <w:p w14:paraId="4340DC4F">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*2.1采用防雨、防潮且不易破损的密封袋包装，每袋重量不大于50kg；</w:t>
      </w:r>
    </w:p>
    <w:p w14:paraId="5A14F9D9">
      <w:pPr>
        <w:spacing w:line="440" w:lineRule="exact"/>
        <w:rPr>
          <w:rFonts w:hint="eastAsia" w:ascii="仿宋" w:hAnsi="仿宋" w:eastAsia="仿宋" w:cs="仿宋"/>
          <w:color w:val="000000"/>
          <w:sz w:val="28"/>
          <w:szCs w:val="28"/>
        </w:rPr>
      </w:pPr>
      <w:r>
        <w:rPr>
          <w:rFonts w:hint="eastAsia" w:ascii="仿宋" w:hAnsi="仿宋" w:eastAsia="仿宋" w:cs="仿宋"/>
          <w:sz w:val="28"/>
          <w:szCs w:val="28"/>
        </w:rPr>
        <w:t>三）交货时提供的技术资料</w:t>
      </w:r>
    </w:p>
    <w:p w14:paraId="495C4F82">
      <w:pPr>
        <w:spacing w:line="440" w:lineRule="exact"/>
        <w:rPr>
          <w:rFonts w:hint="eastAsia" w:ascii="仿宋" w:hAnsi="仿宋" w:eastAsia="仿宋" w:cs="仿宋"/>
          <w:sz w:val="28"/>
          <w:szCs w:val="28"/>
        </w:rPr>
      </w:pPr>
      <w:r>
        <w:rPr>
          <w:rFonts w:hint="eastAsia" w:ascii="仿宋" w:hAnsi="仿宋" w:eastAsia="仿宋" w:cs="仿宋"/>
          <w:sz w:val="28"/>
          <w:szCs w:val="28"/>
        </w:rPr>
        <w:t>*材料的合格证或质保证书和出厂检验报告；</w:t>
      </w:r>
    </w:p>
    <w:p w14:paraId="1E578ACE">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四）交货地点、交货时间</w:t>
      </w:r>
    </w:p>
    <w:p w14:paraId="308DF58E">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13E20749">
      <w:pPr>
        <w:pStyle w:val="20"/>
        <w:spacing w:line="440" w:lineRule="exact"/>
        <w:rPr>
          <w:rFonts w:hint="eastAsia" w:ascii="仿宋" w:hAnsi="仿宋" w:eastAsia="仿宋" w:cs="仿宋"/>
          <w:color w:val="000000"/>
          <w:position w:val="2"/>
          <w:sz w:val="28"/>
          <w:szCs w:val="28"/>
        </w:rPr>
      </w:pPr>
      <w:r>
        <w:rPr>
          <w:rFonts w:hint="eastAsia" w:ascii="仿宋" w:hAnsi="仿宋" w:eastAsia="仿宋" w:cs="仿宋"/>
          <w:color w:val="000000"/>
          <w:position w:val="2"/>
          <w:sz w:val="28"/>
          <w:szCs w:val="28"/>
        </w:rPr>
        <w:t>交货地点</w:t>
      </w: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bCs/>
          <w:sz w:val="28"/>
          <w:szCs w:val="28"/>
          <w:lang w:val="en-US" w:eastAsia="zh-CN"/>
        </w:rPr>
        <w:t>湛江市朗坤环保能源有限公司</w:t>
      </w:r>
      <w:r>
        <w:rPr>
          <w:rFonts w:hint="eastAsia" w:ascii="仿宋" w:hAnsi="仿宋" w:eastAsia="仿宋" w:cs="仿宋"/>
          <w:color w:val="000000"/>
          <w:position w:val="2"/>
          <w:sz w:val="28"/>
          <w:szCs w:val="28"/>
        </w:rPr>
        <w:t>厂内需方指定地点。</w:t>
      </w:r>
    </w:p>
    <w:p w14:paraId="690F73D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6F6C46A8">
      <w:pPr>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分批送货，第一批货物的送货</w:t>
      </w:r>
      <w:r>
        <w:rPr>
          <w:rFonts w:hint="eastAsia" w:ascii="仿宋" w:hAnsi="仿宋" w:eastAsia="仿宋" w:cs="仿宋"/>
          <w:spacing w:val="10"/>
          <w:sz w:val="28"/>
          <w:szCs w:val="28"/>
        </w:rPr>
        <w:t>时间为中标通知书发出后第   个日历日（甲方</w:t>
      </w:r>
      <w:r>
        <w:rPr>
          <w:rFonts w:hint="eastAsia" w:ascii="仿宋" w:hAnsi="仿宋" w:eastAsia="仿宋" w:cs="仿宋"/>
          <w:color w:val="000000"/>
          <w:spacing w:val="10"/>
          <w:sz w:val="28"/>
          <w:szCs w:val="28"/>
        </w:rPr>
        <w:t>原因除外），具体送货时间以甲方书面通知书为准，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2F80E91">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56DB64F2">
      <w:pPr>
        <w:spacing w:line="440" w:lineRule="exact"/>
        <w:rPr>
          <w:rFonts w:hint="eastAsia" w:ascii="仿宋" w:hAnsi="仿宋" w:eastAsia="仿宋" w:cs="仿宋"/>
          <w:sz w:val="28"/>
          <w:szCs w:val="28"/>
        </w:rPr>
      </w:pPr>
      <w:r>
        <w:rPr>
          <w:rFonts w:hint="eastAsia" w:ascii="仿宋" w:hAnsi="仿宋" w:eastAsia="仿宋" w:cs="仿宋"/>
          <w:sz w:val="28"/>
          <w:szCs w:val="28"/>
        </w:rPr>
        <w:t>1.验收方式：</w:t>
      </w:r>
    </w:p>
    <w:p w14:paraId="4247DDB2">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1.1货物到达后，在甲方地磅房过磅，重量以过磅的结果为准。</w:t>
      </w:r>
    </w:p>
    <w:p w14:paraId="2AC34235">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1.2货物到达后甲乙双方取样进行外观检查并封存样品，若对货物质量有异议时将样品送具有相应资质的单位进行检测。</w:t>
      </w:r>
    </w:p>
    <w:p w14:paraId="6ADDCE38">
      <w:pPr>
        <w:tabs>
          <w:tab w:val="left" w:pos="5900"/>
        </w:tabs>
        <w:spacing w:line="440" w:lineRule="exact"/>
        <w:rPr>
          <w:rFonts w:hint="eastAsia" w:ascii="仿宋" w:hAnsi="仿宋" w:eastAsia="仿宋" w:cs="仿宋"/>
          <w:b/>
          <w:sz w:val="28"/>
          <w:szCs w:val="28"/>
        </w:rPr>
      </w:pPr>
      <w:r>
        <w:rPr>
          <w:rFonts w:hint="eastAsia" w:ascii="仿宋" w:hAnsi="仿宋" w:eastAsia="仿宋" w:cs="仿宋"/>
          <w:sz w:val="28"/>
          <w:szCs w:val="28"/>
        </w:rPr>
        <w:t>2.合格标准</w:t>
      </w:r>
      <w:r>
        <w:rPr>
          <w:rFonts w:hint="eastAsia" w:ascii="仿宋" w:hAnsi="仿宋" w:eastAsia="仿宋" w:cs="仿宋"/>
          <w:b/>
          <w:sz w:val="28"/>
          <w:szCs w:val="28"/>
        </w:rPr>
        <w:t>：</w:t>
      </w:r>
    </w:p>
    <w:p w14:paraId="26B3A703">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2.1货物出厂检测结果应全部满足表三的要求。</w:t>
      </w:r>
    </w:p>
    <w:p w14:paraId="3AA32158">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2.2外观检查合格。</w:t>
      </w:r>
    </w:p>
    <w:p w14:paraId="0AF85C40">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2.3若有送检其检测结果应全部满足表三的要求。</w:t>
      </w:r>
    </w:p>
    <w:p w14:paraId="7D0DD339">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2.4技术资料齐全。</w:t>
      </w:r>
    </w:p>
    <w:p w14:paraId="355124A2">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0F8EFC3C">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1BD8BFB2">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16CDA787">
      <w:pPr>
        <w:pStyle w:val="80"/>
        <w:spacing w:line="440" w:lineRule="exact"/>
        <w:ind w:firstLine="0" w:firstLineChars="0"/>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64C64D0D">
      <w:pPr>
        <w:adjustRightInd w:val="0"/>
        <w:snapToGrid w:val="0"/>
        <w:spacing w:line="360" w:lineRule="auto"/>
        <w:rPr>
          <w:rFonts w:hint="eastAsia" w:ascii="仿宋" w:hAnsi="仿宋" w:eastAsia="仿宋" w:cs="仿宋"/>
          <w:b/>
          <w:bCs/>
          <w:sz w:val="28"/>
          <w:szCs w:val="28"/>
        </w:rPr>
      </w:pPr>
    </w:p>
    <w:p w14:paraId="24C821B6">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50864444"/>
      <w:bookmarkStart w:id="79" w:name="_Toc35342046"/>
      <w:bookmarkStart w:id="80" w:name="_Toc91392962"/>
      <w:bookmarkStart w:id="81" w:name="_Toc123786890"/>
    </w:p>
    <w:p w14:paraId="5D0743FF">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p>
    <w:p w14:paraId="63346C4F">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C012411">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24EA9B5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1、投标方要根据湛江市朗坤环保能源有限公司设施工艺情况，提供有指导意义的技术方案，指导如何才能合理节约环保材料的消耗，满足我厂环保指标的达标排放。湛江市朗坤环保能源有限公司</w:t>
      </w:r>
      <w:r>
        <w:rPr>
          <w:rFonts w:hint="eastAsia" w:ascii="仿宋" w:hAnsi="仿宋" w:eastAsia="仿宋" w:cs="仿宋"/>
          <w:sz w:val="28"/>
          <w:szCs w:val="28"/>
        </w:rPr>
        <w:t>烟气净化系统工艺如下：采用半干法+活性炭吸附+布袋除尘器+SNCR，其中活性炭系统自活性炭间至尾部烟道；干粉系统（氢氧化钙粉）自干粉间至尾部烟道；石灰制浆系统（氢氧化钙粉）从石灰浆制备间至脱酸塔；尿素自SNCR间至锅炉高温区；螯合剂与飞灰螯合后装袋。根据烟气处理其它项目参考活性炭单耗约为   吨/天，氢氧化钙单耗为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吨/天，按年运行8000小时（即330天）计算，年需消耗活性炭约为  吨；氢氧化钙约为   吨；尿素约为  吨;螯合剂约为  吨。</w:t>
      </w:r>
    </w:p>
    <w:p w14:paraId="10C9FCF8">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1C962485">
      <w:pPr>
        <w:snapToGrid w:val="0"/>
        <w:spacing w:line="440" w:lineRule="exact"/>
        <w:rPr>
          <w:rFonts w:hint="eastAsia" w:ascii="仿宋" w:hAnsi="仿宋" w:eastAsia="仿宋" w:cs="仿宋"/>
          <w:kern w:val="44"/>
          <w:sz w:val="28"/>
          <w:szCs w:val="28"/>
        </w:rPr>
      </w:pPr>
    </w:p>
    <w:p w14:paraId="7A0F3AAE">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A20B25"/>
    <w:multiLevelType w:val="singleLevel"/>
    <w:tmpl w:val="64A20B25"/>
    <w:lvl w:ilvl="0" w:tentative="0">
      <w:start w:val="1"/>
      <w:numFmt w:val="chineseCounting"/>
      <w:suff w:val="nothing"/>
      <w:lvlText w:val="%1）"/>
      <w:lvlJc w:val="left"/>
      <w:rPr>
        <w:rFonts w:hint="eastAsia"/>
      </w:rPr>
    </w:lvl>
  </w:abstractNum>
  <w:abstractNum w:abstractNumId="1">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D6899"/>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A7647D"/>
    <w:rsid w:val="01B14C06"/>
    <w:rsid w:val="034675D0"/>
    <w:rsid w:val="03FB485E"/>
    <w:rsid w:val="04235541"/>
    <w:rsid w:val="05575AC4"/>
    <w:rsid w:val="05E43751"/>
    <w:rsid w:val="065F7326"/>
    <w:rsid w:val="068428E9"/>
    <w:rsid w:val="0728596A"/>
    <w:rsid w:val="07B0770E"/>
    <w:rsid w:val="07E15B19"/>
    <w:rsid w:val="07F93B7A"/>
    <w:rsid w:val="082F0F7A"/>
    <w:rsid w:val="085608FD"/>
    <w:rsid w:val="089112ED"/>
    <w:rsid w:val="08C81C73"/>
    <w:rsid w:val="0A56558B"/>
    <w:rsid w:val="0A7669ED"/>
    <w:rsid w:val="0AB37C41"/>
    <w:rsid w:val="0ABB035C"/>
    <w:rsid w:val="0AC21C32"/>
    <w:rsid w:val="0B2C78C3"/>
    <w:rsid w:val="0B316DB7"/>
    <w:rsid w:val="0B3F14D4"/>
    <w:rsid w:val="0B5F3925"/>
    <w:rsid w:val="0B892750"/>
    <w:rsid w:val="0C593912"/>
    <w:rsid w:val="0CC04897"/>
    <w:rsid w:val="0DE34399"/>
    <w:rsid w:val="0E5B794D"/>
    <w:rsid w:val="0F024CF3"/>
    <w:rsid w:val="0F916F1E"/>
    <w:rsid w:val="106F5AD2"/>
    <w:rsid w:val="107B2FAF"/>
    <w:rsid w:val="11765524"/>
    <w:rsid w:val="11D84431"/>
    <w:rsid w:val="12763A52"/>
    <w:rsid w:val="12D70244"/>
    <w:rsid w:val="12EA7F78"/>
    <w:rsid w:val="13010F42"/>
    <w:rsid w:val="13086650"/>
    <w:rsid w:val="133A3925"/>
    <w:rsid w:val="14F25809"/>
    <w:rsid w:val="151412DC"/>
    <w:rsid w:val="1543632C"/>
    <w:rsid w:val="158521DA"/>
    <w:rsid w:val="158F4E06"/>
    <w:rsid w:val="159D5775"/>
    <w:rsid w:val="159E329B"/>
    <w:rsid w:val="16445BF1"/>
    <w:rsid w:val="16710EBD"/>
    <w:rsid w:val="168B1A72"/>
    <w:rsid w:val="16975AF5"/>
    <w:rsid w:val="16CA721C"/>
    <w:rsid w:val="1706734A"/>
    <w:rsid w:val="1711641B"/>
    <w:rsid w:val="17323584"/>
    <w:rsid w:val="17CA0378"/>
    <w:rsid w:val="182E4DAB"/>
    <w:rsid w:val="18406A73"/>
    <w:rsid w:val="18C15C1F"/>
    <w:rsid w:val="18FB5F94"/>
    <w:rsid w:val="193C7053"/>
    <w:rsid w:val="194523AC"/>
    <w:rsid w:val="195C76F5"/>
    <w:rsid w:val="19687E48"/>
    <w:rsid w:val="1A8011C2"/>
    <w:rsid w:val="1B061915"/>
    <w:rsid w:val="1B067919"/>
    <w:rsid w:val="1BC42663"/>
    <w:rsid w:val="1C8F393E"/>
    <w:rsid w:val="1D62374A"/>
    <w:rsid w:val="1DCD2970"/>
    <w:rsid w:val="1DD106B2"/>
    <w:rsid w:val="1DFC3255"/>
    <w:rsid w:val="1E05035C"/>
    <w:rsid w:val="1EAE454F"/>
    <w:rsid w:val="1F070103"/>
    <w:rsid w:val="1F1B770B"/>
    <w:rsid w:val="1F971487"/>
    <w:rsid w:val="1FD47FE6"/>
    <w:rsid w:val="20BC5C20"/>
    <w:rsid w:val="20E73D48"/>
    <w:rsid w:val="20E97AC1"/>
    <w:rsid w:val="21A41C3A"/>
    <w:rsid w:val="21EB1616"/>
    <w:rsid w:val="21FA7AAB"/>
    <w:rsid w:val="228850B7"/>
    <w:rsid w:val="228A52D3"/>
    <w:rsid w:val="228F4698"/>
    <w:rsid w:val="22A719E1"/>
    <w:rsid w:val="23700025"/>
    <w:rsid w:val="23C55669"/>
    <w:rsid w:val="240F17D6"/>
    <w:rsid w:val="24DD793C"/>
    <w:rsid w:val="253A4D8F"/>
    <w:rsid w:val="256C2A6E"/>
    <w:rsid w:val="258B52DD"/>
    <w:rsid w:val="25BE6FE6"/>
    <w:rsid w:val="26661BB3"/>
    <w:rsid w:val="26D16D39"/>
    <w:rsid w:val="271B299E"/>
    <w:rsid w:val="278A5506"/>
    <w:rsid w:val="285223EF"/>
    <w:rsid w:val="288602EB"/>
    <w:rsid w:val="28862099"/>
    <w:rsid w:val="28BE1833"/>
    <w:rsid w:val="28E374EB"/>
    <w:rsid w:val="297A7E50"/>
    <w:rsid w:val="29A625D1"/>
    <w:rsid w:val="29F23E8A"/>
    <w:rsid w:val="2A293624"/>
    <w:rsid w:val="2AFB43D6"/>
    <w:rsid w:val="2BD355F5"/>
    <w:rsid w:val="2BE23739"/>
    <w:rsid w:val="2C3170D7"/>
    <w:rsid w:val="2C74487D"/>
    <w:rsid w:val="2C9E3E55"/>
    <w:rsid w:val="2DC45B3D"/>
    <w:rsid w:val="2E92252E"/>
    <w:rsid w:val="2F01691D"/>
    <w:rsid w:val="2F963509"/>
    <w:rsid w:val="305B02AF"/>
    <w:rsid w:val="31091AB9"/>
    <w:rsid w:val="31941AD5"/>
    <w:rsid w:val="31EA5447"/>
    <w:rsid w:val="32432DA9"/>
    <w:rsid w:val="32DC6EF6"/>
    <w:rsid w:val="333D5A4A"/>
    <w:rsid w:val="339733AC"/>
    <w:rsid w:val="345E211C"/>
    <w:rsid w:val="34D16D92"/>
    <w:rsid w:val="34E97C37"/>
    <w:rsid w:val="353C6584"/>
    <w:rsid w:val="35B244CD"/>
    <w:rsid w:val="35F920FC"/>
    <w:rsid w:val="360B1E2F"/>
    <w:rsid w:val="360F36CE"/>
    <w:rsid w:val="362D624A"/>
    <w:rsid w:val="36590DED"/>
    <w:rsid w:val="36B424C7"/>
    <w:rsid w:val="36BB51F4"/>
    <w:rsid w:val="36E20DE2"/>
    <w:rsid w:val="37092813"/>
    <w:rsid w:val="37BC7885"/>
    <w:rsid w:val="38A345A1"/>
    <w:rsid w:val="39447B32"/>
    <w:rsid w:val="39D37108"/>
    <w:rsid w:val="3A0472C2"/>
    <w:rsid w:val="3A465B2C"/>
    <w:rsid w:val="3A4F2C33"/>
    <w:rsid w:val="3A773F37"/>
    <w:rsid w:val="3AC90E15"/>
    <w:rsid w:val="3B8E32E7"/>
    <w:rsid w:val="3BDA477E"/>
    <w:rsid w:val="3C94492D"/>
    <w:rsid w:val="3CF8135F"/>
    <w:rsid w:val="3DEF3806"/>
    <w:rsid w:val="3E4D7489"/>
    <w:rsid w:val="3EEC6CA2"/>
    <w:rsid w:val="3F057D64"/>
    <w:rsid w:val="3F8073EA"/>
    <w:rsid w:val="3FF91CB6"/>
    <w:rsid w:val="4010076E"/>
    <w:rsid w:val="40FE0F0E"/>
    <w:rsid w:val="42021EDE"/>
    <w:rsid w:val="421F113C"/>
    <w:rsid w:val="42254279"/>
    <w:rsid w:val="422B5D33"/>
    <w:rsid w:val="425B7C9B"/>
    <w:rsid w:val="429F227D"/>
    <w:rsid w:val="43C04259"/>
    <w:rsid w:val="446F6F84"/>
    <w:rsid w:val="44F214EB"/>
    <w:rsid w:val="45A3254E"/>
    <w:rsid w:val="45D73ADC"/>
    <w:rsid w:val="45E71F71"/>
    <w:rsid w:val="46821C9A"/>
    <w:rsid w:val="468E639A"/>
    <w:rsid w:val="46B81B60"/>
    <w:rsid w:val="471274C2"/>
    <w:rsid w:val="474B4782"/>
    <w:rsid w:val="47AA0C6D"/>
    <w:rsid w:val="47C84024"/>
    <w:rsid w:val="47F366F7"/>
    <w:rsid w:val="48AA101E"/>
    <w:rsid w:val="495F4514"/>
    <w:rsid w:val="49631BE5"/>
    <w:rsid w:val="496F0BFB"/>
    <w:rsid w:val="4972249A"/>
    <w:rsid w:val="4A282B58"/>
    <w:rsid w:val="4A6242BC"/>
    <w:rsid w:val="4A6B22B2"/>
    <w:rsid w:val="4A8A3813"/>
    <w:rsid w:val="4AA85A47"/>
    <w:rsid w:val="4ABB577A"/>
    <w:rsid w:val="4AC959D0"/>
    <w:rsid w:val="4AD4683C"/>
    <w:rsid w:val="4AE56E9A"/>
    <w:rsid w:val="4B0E200C"/>
    <w:rsid w:val="4B983D0E"/>
    <w:rsid w:val="4BF20AB3"/>
    <w:rsid w:val="4C4579F1"/>
    <w:rsid w:val="4C7107E7"/>
    <w:rsid w:val="4C8D3147"/>
    <w:rsid w:val="4D05121C"/>
    <w:rsid w:val="4D6420F9"/>
    <w:rsid w:val="4D8A1CAF"/>
    <w:rsid w:val="4E7B594C"/>
    <w:rsid w:val="4EF851EF"/>
    <w:rsid w:val="4F2A189B"/>
    <w:rsid w:val="4F3E697A"/>
    <w:rsid w:val="4F894099"/>
    <w:rsid w:val="50336826"/>
    <w:rsid w:val="520B2954"/>
    <w:rsid w:val="52291B63"/>
    <w:rsid w:val="528943B0"/>
    <w:rsid w:val="53805784"/>
    <w:rsid w:val="53EC109A"/>
    <w:rsid w:val="54181E8F"/>
    <w:rsid w:val="54E87AB4"/>
    <w:rsid w:val="5568451C"/>
    <w:rsid w:val="557D34DC"/>
    <w:rsid w:val="569F23F4"/>
    <w:rsid w:val="571E3D72"/>
    <w:rsid w:val="57511940"/>
    <w:rsid w:val="579B705F"/>
    <w:rsid w:val="57A547F7"/>
    <w:rsid w:val="57F329F7"/>
    <w:rsid w:val="582F76E0"/>
    <w:rsid w:val="583A6878"/>
    <w:rsid w:val="58DF4D2A"/>
    <w:rsid w:val="591F15CA"/>
    <w:rsid w:val="593B714F"/>
    <w:rsid w:val="595C281E"/>
    <w:rsid w:val="597B0EF6"/>
    <w:rsid w:val="5AD92379"/>
    <w:rsid w:val="5B3550D5"/>
    <w:rsid w:val="5B386973"/>
    <w:rsid w:val="5B694D7F"/>
    <w:rsid w:val="5C05424F"/>
    <w:rsid w:val="5C3F2626"/>
    <w:rsid w:val="5CA442C0"/>
    <w:rsid w:val="5D174D32"/>
    <w:rsid w:val="5D3513BC"/>
    <w:rsid w:val="5D65398D"/>
    <w:rsid w:val="5DE54B90"/>
    <w:rsid w:val="5E336092"/>
    <w:rsid w:val="5E3D49CC"/>
    <w:rsid w:val="5EF961CD"/>
    <w:rsid w:val="5F4B4EC7"/>
    <w:rsid w:val="5FD77BF1"/>
    <w:rsid w:val="608C1C3B"/>
    <w:rsid w:val="60FF41BB"/>
    <w:rsid w:val="611B7262"/>
    <w:rsid w:val="62D6719E"/>
    <w:rsid w:val="62D90A3C"/>
    <w:rsid w:val="62E80C7F"/>
    <w:rsid w:val="631321A0"/>
    <w:rsid w:val="63253C81"/>
    <w:rsid w:val="632B573B"/>
    <w:rsid w:val="637D2331"/>
    <w:rsid w:val="637F5A87"/>
    <w:rsid w:val="63974B7F"/>
    <w:rsid w:val="63CC5F76"/>
    <w:rsid w:val="63E45BD4"/>
    <w:rsid w:val="640D6BEF"/>
    <w:rsid w:val="64281C7B"/>
    <w:rsid w:val="647B13BB"/>
    <w:rsid w:val="64C80D68"/>
    <w:rsid w:val="652C12F7"/>
    <w:rsid w:val="65332685"/>
    <w:rsid w:val="65384140"/>
    <w:rsid w:val="654A5952"/>
    <w:rsid w:val="65F26CA4"/>
    <w:rsid w:val="66644AC0"/>
    <w:rsid w:val="66AD6467"/>
    <w:rsid w:val="66E410C4"/>
    <w:rsid w:val="67D55C76"/>
    <w:rsid w:val="68A35D74"/>
    <w:rsid w:val="68D46AC8"/>
    <w:rsid w:val="68F465CF"/>
    <w:rsid w:val="69DA7573"/>
    <w:rsid w:val="6A0171F6"/>
    <w:rsid w:val="6A0D33A3"/>
    <w:rsid w:val="6A3D3FA6"/>
    <w:rsid w:val="6A4250A0"/>
    <w:rsid w:val="6A470981"/>
    <w:rsid w:val="6A4C5F97"/>
    <w:rsid w:val="6A5C442C"/>
    <w:rsid w:val="6A9C0CCD"/>
    <w:rsid w:val="6AB9187F"/>
    <w:rsid w:val="6B013699"/>
    <w:rsid w:val="6B3B2294"/>
    <w:rsid w:val="6BA047ED"/>
    <w:rsid w:val="6BE91CF0"/>
    <w:rsid w:val="6C4E5FF7"/>
    <w:rsid w:val="6C8C6B1F"/>
    <w:rsid w:val="6D567859"/>
    <w:rsid w:val="6DA85BDA"/>
    <w:rsid w:val="6DFFD528"/>
    <w:rsid w:val="6E66587A"/>
    <w:rsid w:val="6EC3758C"/>
    <w:rsid w:val="6FEF7AF1"/>
    <w:rsid w:val="70910BA8"/>
    <w:rsid w:val="709A7A5C"/>
    <w:rsid w:val="70CD6084"/>
    <w:rsid w:val="713954C7"/>
    <w:rsid w:val="71F36F0B"/>
    <w:rsid w:val="74550C41"/>
    <w:rsid w:val="74D30172"/>
    <w:rsid w:val="750D2EF3"/>
    <w:rsid w:val="754D1541"/>
    <w:rsid w:val="7553467E"/>
    <w:rsid w:val="75ED37DD"/>
    <w:rsid w:val="760F4CDA"/>
    <w:rsid w:val="76165DD7"/>
    <w:rsid w:val="7634625D"/>
    <w:rsid w:val="76F0487A"/>
    <w:rsid w:val="76FB6D7B"/>
    <w:rsid w:val="777D3C34"/>
    <w:rsid w:val="78994A9D"/>
    <w:rsid w:val="795D1F6F"/>
    <w:rsid w:val="797D25FA"/>
    <w:rsid w:val="79915775"/>
    <w:rsid w:val="7B1228E5"/>
    <w:rsid w:val="7CC52305"/>
    <w:rsid w:val="7D124E1E"/>
    <w:rsid w:val="7D4C20DE"/>
    <w:rsid w:val="7D5947FB"/>
    <w:rsid w:val="7D7F6A8A"/>
    <w:rsid w:val="7D8B70AB"/>
    <w:rsid w:val="7DFF35F5"/>
    <w:rsid w:val="7E977CD1"/>
    <w:rsid w:val="7F1B385A"/>
    <w:rsid w:val="7F7840F3"/>
    <w:rsid w:val="7F9D30C5"/>
    <w:rsid w:val="7FA53D28"/>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4752</Words>
  <Characters>5272</Characters>
  <Lines>48</Lines>
  <Paragraphs>13</Paragraphs>
  <TotalTime>13</TotalTime>
  <ScaleCrop>false</ScaleCrop>
  <LinksUpToDate>false</LinksUpToDate>
  <CharactersWithSpaces>5745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2025-05-14T07:38:33Z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